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numPr>
          <w:ilvl w:val="0"/>
          <w:numId w:val="0"/>
        </w:numPr>
        <w:spacing w:line="584" w:lineRule="exact"/>
        <w:jc w:val="left"/>
        <w:rPr>
          <w:rFonts w:hint="eastAsia" w:eastAsia="黑体" w:cs="Times New Roman"/>
          <w:sz w:val="32"/>
          <w:szCs w:val="32"/>
          <w:lang w:eastAsia="zh-CN"/>
        </w:rPr>
      </w:pPr>
    </w:p>
    <w:p>
      <w:pPr>
        <w:jc w:val="center"/>
        <w:rPr>
          <w:rFonts w:hint="default" w:ascii="方正小标宋简体" w:hAnsi="黑体" w:eastAsia="方正小标宋简体" w:cs="Arial"/>
          <w:color w:val="333333"/>
          <w:sz w:val="44"/>
          <w:szCs w:val="44"/>
          <w:shd w:val="clear" w:color="auto" w:fill="FFFFFF"/>
          <w:lang w:val="en-US"/>
        </w:rPr>
      </w:pPr>
      <w:r>
        <w:rPr>
          <w:rFonts w:hint="eastAsia" w:ascii="方正小标宋简体" w:hAnsi="黑体" w:eastAsia="方正小标宋简体" w:cs="Arial"/>
          <w:color w:val="333333"/>
          <w:sz w:val="44"/>
          <w:szCs w:val="44"/>
          <w:shd w:val="clear" w:color="auto" w:fill="FFFFFF"/>
        </w:rPr>
        <w:t>河北省文安县</w:t>
      </w:r>
      <w:r>
        <w:rPr>
          <w:rFonts w:hint="eastAsia" w:ascii="方正小标宋简体" w:hAnsi="黑体" w:eastAsia="方正小标宋简体" w:cs="Arial"/>
          <w:color w:val="333333"/>
          <w:sz w:val="44"/>
          <w:szCs w:val="44"/>
          <w:shd w:val="clear" w:color="auto" w:fill="FFFFFF"/>
          <w:lang w:val="en-US" w:eastAsia="zh-CN"/>
        </w:rPr>
        <w:t>城区街道办事处</w:t>
      </w:r>
    </w:p>
    <w:p>
      <w:pPr>
        <w:jc w:val="center"/>
        <w:rPr>
          <w:rFonts w:ascii="方正小标宋简体" w:hAnsi="黑体" w:eastAsia="方正小标宋简体" w:cs="Arial"/>
          <w:color w:val="333333"/>
          <w:sz w:val="44"/>
          <w:szCs w:val="44"/>
          <w:shd w:val="clear" w:color="auto" w:fill="FFFFFF"/>
        </w:rPr>
      </w:pPr>
      <w:r>
        <w:rPr>
          <w:rFonts w:hint="eastAsia" w:ascii="方正小标宋简体" w:hAnsi="黑体" w:eastAsia="方正小标宋简体" w:cs="Arial"/>
          <w:color w:val="333333"/>
          <w:sz w:val="44"/>
          <w:szCs w:val="44"/>
          <w:shd w:val="clear" w:color="auto" w:fill="FFFFFF"/>
        </w:rPr>
        <w:t>201</w:t>
      </w:r>
      <w:r>
        <w:rPr>
          <w:rFonts w:hint="eastAsia" w:ascii="方正小标宋简体" w:hAnsi="黑体" w:eastAsia="方正小标宋简体" w:cs="Arial"/>
          <w:color w:val="333333"/>
          <w:sz w:val="44"/>
          <w:szCs w:val="44"/>
          <w:shd w:val="clear" w:color="auto" w:fill="FFFFFF"/>
          <w:lang w:val="en-US" w:eastAsia="zh-CN"/>
        </w:rPr>
        <w:t>8</w:t>
      </w:r>
      <w:r>
        <w:rPr>
          <w:rFonts w:hint="eastAsia" w:ascii="方正小标宋简体" w:hAnsi="黑体" w:eastAsia="方正小标宋简体" w:cs="Arial"/>
          <w:color w:val="333333"/>
          <w:sz w:val="44"/>
          <w:szCs w:val="44"/>
          <w:shd w:val="clear" w:color="auto" w:fill="FFFFFF"/>
        </w:rPr>
        <w:t>年部门决算信息公开情况说明</w:t>
      </w:r>
    </w:p>
    <w:p>
      <w:pPr>
        <w:widowControl/>
        <w:spacing w:line="584" w:lineRule="exact"/>
        <w:ind w:firstLine="640" w:firstLineChars="200"/>
        <w:jc w:val="left"/>
        <w:rPr>
          <w:rFonts w:hint="eastAsia" w:ascii="仿宋_GB2312" w:eastAsia="仿宋_GB2312" w:cs="Times New Roman"/>
          <w:sz w:val="32"/>
          <w:szCs w:val="32"/>
        </w:rPr>
      </w:pPr>
      <w:r>
        <w:rPr>
          <w:rFonts w:hint="eastAsia" w:ascii="仿宋_GB2312" w:eastAsia="仿宋_GB2312" w:cs="Times New Roman"/>
          <w:sz w:val="32"/>
          <w:szCs w:val="32"/>
        </w:rPr>
        <w:t>按照《预算法》、《河北省财政厅关于印发&lt;河北省预决算公开操作规程实施细则&gt;的通知》（冀财预</w:t>
      </w:r>
      <w:r>
        <w:rPr>
          <w:rFonts w:hint="eastAsia" w:ascii="仿宋_GB2312" w:cs="Times New Roman"/>
          <w:sz w:val="32"/>
          <w:szCs w:val="32"/>
        </w:rPr>
        <w:t>﹝</w:t>
      </w:r>
      <w:r>
        <w:rPr>
          <w:rFonts w:hint="eastAsia" w:ascii="仿宋_GB2312" w:eastAsia="仿宋_GB2312" w:cs="Times New Roman"/>
          <w:sz w:val="32"/>
          <w:szCs w:val="32"/>
        </w:rPr>
        <w:t>2016</w:t>
      </w:r>
      <w:r>
        <w:rPr>
          <w:rFonts w:hint="eastAsia" w:ascii="仿宋_GB2312" w:cs="Times New Roman"/>
          <w:sz w:val="32"/>
          <w:szCs w:val="32"/>
        </w:rPr>
        <w:t>﹞</w:t>
      </w:r>
      <w:r>
        <w:rPr>
          <w:rFonts w:hint="eastAsia" w:ascii="仿宋_GB2312" w:eastAsia="仿宋_GB2312" w:cs="Times New Roman"/>
          <w:sz w:val="32"/>
          <w:szCs w:val="32"/>
        </w:rPr>
        <w:t>129号）等规定，现将201</w:t>
      </w:r>
      <w:r>
        <w:rPr>
          <w:rFonts w:hint="eastAsia" w:ascii="仿宋_GB2312" w:eastAsia="仿宋_GB2312" w:cs="Times New Roman"/>
          <w:sz w:val="32"/>
          <w:szCs w:val="32"/>
          <w:lang w:val="en-US" w:eastAsia="zh-CN"/>
        </w:rPr>
        <w:t>8</w:t>
      </w:r>
      <w:r>
        <w:rPr>
          <w:rFonts w:hint="eastAsia" w:ascii="仿宋_GB2312" w:eastAsia="仿宋_GB2312" w:cs="Times New Roman"/>
          <w:sz w:val="32"/>
          <w:szCs w:val="32"/>
        </w:rPr>
        <w:t>年部门决算公开如下：</w:t>
      </w:r>
    </w:p>
    <w:p>
      <w:pPr>
        <w:widowControl/>
        <w:numPr>
          <w:ilvl w:val="0"/>
          <w:numId w:val="0"/>
        </w:numPr>
        <w:spacing w:line="584" w:lineRule="exact"/>
        <w:jc w:val="left"/>
        <w:rPr>
          <w:rFonts w:eastAsia="黑体" w:cs="Times New Roman"/>
          <w:sz w:val="32"/>
          <w:szCs w:val="32"/>
        </w:rPr>
      </w:pPr>
      <w:r>
        <w:rPr>
          <w:rFonts w:hint="eastAsia" w:eastAsia="黑体" w:cs="Times New Roman"/>
          <w:sz w:val="32"/>
          <w:szCs w:val="32"/>
          <w:lang w:eastAsia="zh-CN"/>
        </w:rPr>
        <w:t>第一部分：文安县</w:t>
      </w:r>
      <w:r>
        <w:rPr>
          <w:rFonts w:hint="eastAsia" w:eastAsia="黑体" w:cs="Times New Roman"/>
          <w:sz w:val="32"/>
          <w:szCs w:val="32"/>
          <w:lang w:val="en-US" w:eastAsia="zh-CN"/>
        </w:rPr>
        <w:t>文安县城区街道办事处2018年度</w:t>
      </w:r>
      <w:r>
        <w:rPr>
          <w:rFonts w:eastAsia="黑体" w:cs="Times New Roman"/>
          <w:sz w:val="32"/>
          <w:szCs w:val="32"/>
        </w:rPr>
        <w:t>部门</w:t>
      </w:r>
      <w:r>
        <w:rPr>
          <w:rFonts w:hint="eastAsia" w:eastAsia="黑体" w:cs="Times New Roman"/>
          <w:sz w:val="32"/>
          <w:szCs w:val="32"/>
          <w:lang w:eastAsia="zh-CN"/>
        </w:rPr>
        <w:t>概况</w:t>
      </w:r>
    </w:p>
    <w:p>
      <w:pPr>
        <w:widowControl/>
        <w:spacing w:line="584" w:lineRule="exact"/>
        <w:ind w:firstLine="643" w:firstLineChars="200"/>
        <w:jc w:val="left"/>
        <w:rPr>
          <w:rFonts w:hint="eastAsia" w:ascii="楷体_GB2312" w:eastAsia="楷体_GB2312" w:cs="Times New Roman"/>
          <w:b/>
          <w:sz w:val="32"/>
          <w:szCs w:val="32"/>
          <w:lang w:val="en-US" w:eastAsia="zh-CN"/>
        </w:rPr>
      </w:pPr>
      <w:r>
        <w:rPr>
          <w:rFonts w:hint="eastAsia" w:ascii="楷体_GB2312" w:eastAsia="楷体_GB2312" w:cs="Times New Roman"/>
          <w:b/>
          <w:sz w:val="32"/>
          <w:szCs w:val="32"/>
          <w:lang w:val="en-US" w:eastAsia="zh-CN"/>
        </w:rPr>
        <w:t>一、部门职责：</w:t>
      </w:r>
    </w:p>
    <w:p>
      <w:pPr>
        <w:spacing w:after="0" w:line="560" w:lineRule="exact"/>
        <w:ind w:firstLine="640" w:firstLineChars="200"/>
        <w:rPr>
          <w:rFonts w:hint="eastAsia" w:ascii="仿宋_GB2312" w:eastAsia="仿宋_GB2312" w:cs="ArialUnicodeMS" w:hAnsiTheme="minorHAnsi"/>
          <w:kern w:val="0"/>
          <w:sz w:val="32"/>
          <w:szCs w:val="32"/>
        </w:rPr>
      </w:pPr>
      <w:r>
        <w:rPr>
          <w:rFonts w:hint="eastAsia" w:ascii="仿宋_GB2312" w:eastAsia="仿宋_GB2312" w:cs="ArialUnicodeMS" w:hAnsiTheme="minorHAnsi"/>
          <w:kern w:val="0"/>
          <w:sz w:val="32"/>
          <w:szCs w:val="32"/>
        </w:rPr>
        <w:t>街道办事处为县政府派出机构，在县政府直接领导下，贯彻执行党的路线方针政策和国家的法律法规，坚持以经济建设为中心，以居民工作为基础，以社区建设、城市管理、社区保障和地区稳定为重点，依据法律、法规和区政府的授权，对辖区内地区性、社会性和群众公益性工作履行组织领导、综合协调、监督检查职能。具体工作职能如下：</w:t>
      </w:r>
    </w:p>
    <w:p>
      <w:pPr>
        <w:spacing w:after="0" w:line="560" w:lineRule="exact"/>
        <w:rPr>
          <w:rFonts w:hint="eastAsia" w:ascii="仿宋_GB2312" w:eastAsia="仿宋_GB2312" w:cs="ArialUnicodeMS" w:hAnsiTheme="minorHAnsi"/>
          <w:kern w:val="0"/>
          <w:sz w:val="32"/>
          <w:szCs w:val="32"/>
        </w:rPr>
      </w:pPr>
      <w:r>
        <w:rPr>
          <w:rFonts w:hint="eastAsia" w:ascii="仿宋_GB2312" w:eastAsia="仿宋_GB2312" w:cs="ArialUnicodeMS" w:hAnsiTheme="minorHAnsi"/>
          <w:kern w:val="0"/>
          <w:sz w:val="32"/>
          <w:szCs w:val="32"/>
        </w:rPr>
        <w:t>（一）社区党建工作，即建立健全街道及各社区党组织建设；</w:t>
      </w:r>
    </w:p>
    <w:p>
      <w:pPr>
        <w:spacing w:after="0" w:line="560" w:lineRule="exact"/>
        <w:rPr>
          <w:rFonts w:hint="eastAsia" w:ascii="仿宋_GB2312" w:eastAsia="仿宋_GB2312" w:cs="ArialUnicodeMS" w:hAnsiTheme="minorHAnsi"/>
          <w:kern w:val="0"/>
          <w:sz w:val="32"/>
          <w:szCs w:val="32"/>
        </w:rPr>
      </w:pPr>
      <w:r>
        <w:rPr>
          <w:rFonts w:hint="eastAsia" w:ascii="仿宋_GB2312" w:eastAsia="仿宋_GB2312" w:cs="ArialUnicodeMS" w:hAnsiTheme="minorHAnsi"/>
          <w:kern w:val="0"/>
          <w:sz w:val="32"/>
          <w:szCs w:val="32"/>
        </w:rPr>
        <w:t>（二）民政救助工作，即以服务居民为宗旨，以协助或联合相关单位的形式，使贫困的弱势群体或个人得到一定程度地救助；</w:t>
      </w:r>
    </w:p>
    <w:p>
      <w:pPr>
        <w:spacing w:after="0" w:line="560" w:lineRule="exact"/>
        <w:rPr>
          <w:rFonts w:hint="eastAsia" w:ascii="仿宋_GB2312" w:eastAsia="仿宋_GB2312" w:cs="ArialUnicodeMS" w:hAnsiTheme="minorHAnsi"/>
          <w:kern w:val="0"/>
          <w:sz w:val="32"/>
          <w:szCs w:val="32"/>
        </w:rPr>
      </w:pPr>
      <w:r>
        <w:rPr>
          <w:rFonts w:hint="eastAsia" w:ascii="仿宋_GB2312" w:eastAsia="仿宋_GB2312" w:cs="ArialUnicodeMS" w:hAnsiTheme="minorHAnsi"/>
          <w:kern w:val="0"/>
          <w:sz w:val="32"/>
          <w:szCs w:val="32"/>
        </w:rPr>
        <w:t>（三）劳动保障工作，即为社区居民提供相关劳动保障工作；</w:t>
      </w:r>
    </w:p>
    <w:p>
      <w:pPr>
        <w:spacing w:after="0" w:line="560" w:lineRule="exact"/>
        <w:rPr>
          <w:rFonts w:hint="eastAsia" w:ascii="仿宋_GB2312" w:eastAsia="仿宋_GB2312" w:cs="ArialUnicodeMS" w:hAnsiTheme="minorHAnsi"/>
          <w:kern w:val="0"/>
          <w:sz w:val="32"/>
          <w:szCs w:val="32"/>
        </w:rPr>
      </w:pPr>
      <w:r>
        <w:rPr>
          <w:rFonts w:hint="eastAsia" w:ascii="仿宋_GB2312" w:eastAsia="仿宋_GB2312" w:cs="ArialUnicodeMS" w:hAnsiTheme="minorHAnsi"/>
          <w:kern w:val="0"/>
          <w:sz w:val="32"/>
          <w:szCs w:val="32"/>
        </w:rPr>
        <w:t>（四）计划生育工作，即做好计生工作的宣传与落实；     </w:t>
      </w:r>
    </w:p>
    <w:p>
      <w:pPr>
        <w:spacing w:after="0" w:line="560" w:lineRule="exact"/>
        <w:rPr>
          <w:rFonts w:hint="eastAsia" w:ascii="仿宋_GB2312" w:eastAsia="仿宋_GB2312" w:cs="ArialUnicodeMS" w:hAnsiTheme="minorHAnsi"/>
          <w:kern w:val="0"/>
          <w:sz w:val="32"/>
          <w:szCs w:val="32"/>
        </w:rPr>
      </w:pPr>
      <w:r>
        <w:rPr>
          <w:rFonts w:hint="eastAsia" w:ascii="仿宋_GB2312" w:eastAsia="仿宋_GB2312" w:cs="ArialUnicodeMS" w:hAnsiTheme="minorHAnsi"/>
          <w:kern w:val="0"/>
          <w:sz w:val="32"/>
          <w:szCs w:val="32"/>
        </w:rPr>
        <w:t>（五）司法民调工作，即进一步细化并做好司法民调相关工作；</w:t>
      </w:r>
    </w:p>
    <w:p>
      <w:pPr>
        <w:spacing w:after="0" w:line="560" w:lineRule="exact"/>
        <w:rPr>
          <w:rFonts w:hint="eastAsia" w:ascii="仿宋_GB2312" w:eastAsia="仿宋_GB2312" w:cs="ArialUnicodeMS" w:hAnsiTheme="minorHAnsi"/>
          <w:kern w:val="0"/>
          <w:sz w:val="32"/>
          <w:szCs w:val="32"/>
        </w:rPr>
      </w:pPr>
      <w:r>
        <w:rPr>
          <w:rFonts w:hint="eastAsia" w:ascii="仿宋_GB2312" w:eastAsia="仿宋_GB2312" w:cs="ArialUnicodeMS" w:hAnsiTheme="minorHAnsi"/>
          <w:kern w:val="0"/>
          <w:sz w:val="32"/>
          <w:szCs w:val="32"/>
        </w:rPr>
        <w:t>（六）武装工作，即全面推进街道各项武装工作；</w:t>
      </w:r>
    </w:p>
    <w:p>
      <w:pPr>
        <w:spacing w:after="0" w:line="560" w:lineRule="exact"/>
        <w:rPr>
          <w:rFonts w:hint="eastAsia" w:ascii="仿宋_GB2312" w:eastAsia="仿宋_GB2312" w:cs="ArialUnicodeMS" w:hAnsiTheme="minorHAnsi"/>
          <w:kern w:val="0"/>
          <w:sz w:val="32"/>
          <w:szCs w:val="32"/>
        </w:rPr>
      </w:pPr>
      <w:r>
        <w:rPr>
          <w:rFonts w:hint="eastAsia" w:ascii="仿宋_GB2312" w:eastAsia="仿宋_GB2312" w:cs="ArialUnicodeMS" w:hAnsiTheme="minorHAnsi"/>
          <w:kern w:val="0"/>
          <w:sz w:val="32"/>
          <w:szCs w:val="32"/>
        </w:rPr>
        <w:t>（七）住房保障工作，即为居民办理住房保障工作相关手续；</w:t>
      </w:r>
    </w:p>
    <w:p>
      <w:pPr>
        <w:spacing w:after="0" w:line="560" w:lineRule="exact"/>
        <w:rPr>
          <w:rFonts w:hint="eastAsia" w:ascii="仿宋_GB2312" w:eastAsia="仿宋_GB2312" w:cs="ArialUnicodeMS" w:hAnsiTheme="minorHAnsi"/>
          <w:kern w:val="0"/>
          <w:sz w:val="32"/>
          <w:szCs w:val="32"/>
        </w:rPr>
      </w:pPr>
      <w:r>
        <w:rPr>
          <w:rFonts w:hint="eastAsia" w:ascii="仿宋_GB2312" w:eastAsia="仿宋_GB2312" w:cs="ArialUnicodeMS" w:hAnsiTheme="minorHAnsi"/>
          <w:kern w:val="0"/>
          <w:sz w:val="32"/>
          <w:szCs w:val="32"/>
        </w:rPr>
        <w:t>（八）小区管理与建设的其他相关工作。</w:t>
      </w:r>
    </w:p>
    <w:p>
      <w:pPr>
        <w:spacing w:after="0" w:line="560" w:lineRule="exact"/>
        <w:rPr>
          <w:rFonts w:hint="eastAsia" w:ascii="仿宋_GB2312" w:eastAsia="仿宋_GB2312" w:cs="ArialUnicodeMS" w:hAnsiTheme="minorHAnsi"/>
          <w:kern w:val="0"/>
          <w:sz w:val="32"/>
          <w:szCs w:val="32"/>
        </w:rPr>
      </w:pPr>
      <w:r>
        <w:rPr>
          <w:rFonts w:hint="eastAsia" w:ascii="仿宋_GB2312" w:eastAsia="仿宋_GB2312" w:cs="ArialUnicodeMS" w:hAnsiTheme="minorHAnsi"/>
          <w:kern w:val="0"/>
          <w:sz w:val="32"/>
          <w:szCs w:val="32"/>
        </w:rPr>
        <w:t>（九）承办县政府交办的其他事项。</w:t>
      </w:r>
    </w:p>
    <w:p>
      <w:pPr>
        <w:widowControl/>
        <w:spacing w:line="584" w:lineRule="exact"/>
        <w:ind w:firstLine="643" w:firstLineChars="200"/>
        <w:jc w:val="left"/>
        <w:rPr>
          <w:rFonts w:hint="eastAsia" w:ascii="楷体_GB2312" w:eastAsia="楷体_GB2312" w:cs="Times New Roman"/>
          <w:b/>
          <w:sz w:val="32"/>
          <w:szCs w:val="32"/>
          <w:lang w:val="en-US" w:eastAsia="zh-CN"/>
        </w:rPr>
      </w:pPr>
    </w:p>
    <w:p>
      <w:pPr>
        <w:widowControl/>
        <w:spacing w:line="584" w:lineRule="exact"/>
        <w:ind w:firstLine="643" w:firstLineChars="200"/>
        <w:jc w:val="left"/>
        <w:rPr>
          <w:rFonts w:hint="eastAsia" w:ascii="楷体_GB2312" w:eastAsia="楷体_GB2312" w:cs="Times New Roman"/>
          <w:b/>
          <w:sz w:val="32"/>
          <w:szCs w:val="32"/>
          <w:lang w:val="en-US" w:eastAsia="zh-CN"/>
        </w:rPr>
      </w:pPr>
      <w:r>
        <w:rPr>
          <w:rFonts w:hint="eastAsia" w:ascii="楷体_GB2312" w:eastAsia="楷体_GB2312" w:cs="Times New Roman"/>
          <w:b/>
          <w:sz w:val="32"/>
          <w:szCs w:val="32"/>
          <w:lang w:val="en-US" w:eastAsia="zh-CN"/>
        </w:rPr>
        <w:t>二、机构设置：</w:t>
      </w:r>
    </w:p>
    <w:p>
      <w:pPr>
        <w:spacing w:after="0" w:line="560" w:lineRule="exact"/>
        <w:ind w:firstLine="640" w:firstLineChars="200"/>
        <w:rPr>
          <w:rFonts w:hint="default" w:ascii="仿宋_GB2312" w:eastAsia="仿宋_GB2312" w:cs="ArialUnicodeMS" w:hAnsiTheme="minorHAnsi"/>
          <w:kern w:val="0"/>
          <w:sz w:val="32"/>
          <w:szCs w:val="32"/>
          <w:lang w:val="en-US" w:eastAsia="zh-CN"/>
        </w:rPr>
      </w:pPr>
      <w:r>
        <w:rPr>
          <w:rFonts w:hint="eastAsia" w:ascii="仿宋_GB2312" w:eastAsia="仿宋_GB2312" w:cs="ArialUnicodeMS" w:hAnsiTheme="minorHAnsi"/>
          <w:kern w:val="0"/>
          <w:sz w:val="32"/>
          <w:szCs w:val="32"/>
          <w:lang w:val="en-US" w:eastAsia="zh-CN"/>
        </w:rPr>
        <w:t>从决算编报单位构成看，纳入2018年度本部门决算汇编范围的独立核算单位（以下简称“单位”）共1个，具体情况如下：</w:t>
      </w:r>
    </w:p>
    <w:p>
      <w:pPr>
        <w:widowControl/>
        <w:spacing w:before="150" w:line="540" w:lineRule="atLeast"/>
        <w:ind w:firstLine="640" w:firstLineChars="200"/>
        <w:jc w:val="left"/>
        <w:rPr>
          <w:rFonts w:hint="eastAsia" w:ascii="仿宋_GB2312" w:hAnsi="仿宋" w:eastAsia="仿宋_GB2312" w:cs="宋体"/>
          <w:color w:val="484747"/>
          <w:kern w:val="0"/>
          <w:sz w:val="32"/>
          <w:szCs w:val="32"/>
        </w:rPr>
      </w:pPr>
    </w:p>
    <w:tbl>
      <w:tblPr>
        <w:tblStyle w:val="8"/>
        <w:tblpPr w:leftFromText="180" w:rightFromText="180" w:vertAnchor="text" w:horzAnchor="margin" w:tblpXSpec="center" w:tblpY="476"/>
        <w:tblOverlap w:val="never"/>
        <w:tblW w:w="9597" w:type="dxa"/>
        <w:tblInd w:w="145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0"/>
        <w:gridCol w:w="2734"/>
        <w:gridCol w:w="1813"/>
        <w:gridCol w:w="1814"/>
        <w:gridCol w:w="23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7" w:hRule="exact"/>
        </w:trPr>
        <w:tc>
          <w:tcPr>
            <w:tcW w:w="890" w:type="dxa"/>
            <w:vAlign w:val="center"/>
          </w:tcPr>
          <w:p>
            <w:pPr>
              <w:pStyle w:val="7"/>
              <w:widowControl/>
              <w:spacing w:before="0" w:beforeAutospacing="0" w:after="0" w:afterAutospacing="0" w:line="405" w:lineRule="atLeast"/>
              <w:jc w:val="center"/>
              <w:rPr>
                <w:rFonts w:hint="default" w:ascii="仿宋_GB2312" w:hAnsi="Arial" w:eastAsia="仿宋_GB2312" w:cs="Arial"/>
                <w:b/>
                <w:color w:val="333333"/>
                <w:szCs w:val="24"/>
                <w:shd w:val="clear" w:color="auto" w:fill="FFFFFF"/>
                <w:lang w:val="en-US" w:eastAsia="zh-CN"/>
              </w:rPr>
            </w:pPr>
            <w:r>
              <w:rPr>
                <w:rFonts w:hint="eastAsia" w:ascii="仿宋_GB2312" w:eastAsia="仿宋_GB2312" w:cs="ArialUnicodeMS" w:hAnsiTheme="minorHAnsi"/>
                <w:b/>
                <w:bCs/>
                <w:kern w:val="0"/>
                <w:sz w:val="28"/>
                <w:szCs w:val="28"/>
                <w:lang w:val="en-US" w:eastAsia="zh-CN" w:bidi="ar-SA"/>
              </w:rPr>
              <w:t>序号</w:t>
            </w:r>
          </w:p>
        </w:tc>
        <w:tc>
          <w:tcPr>
            <w:tcW w:w="2734" w:type="dxa"/>
            <w:vAlign w:val="center"/>
          </w:tcPr>
          <w:p>
            <w:pPr>
              <w:pStyle w:val="7"/>
              <w:widowControl/>
              <w:spacing w:before="0" w:beforeAutospacing="0" w:after="0" w:afterAutospacing="0" w:line="405" w:lineRule="atLeast"/>
              <w:jc w:val="center"/>
              <w:rPr>
                <w:rFonts w:ascii="仿宋_GB2312" w:hAnsi="Arial" w:cs="Arial"/>
                <w:b/>
                <w:color w:val="333333"/>
                <w:szCs w:val="24"/>
                <w:shd w:val="clear" w:color="auto" w:fill="FFFFFF"/>
              </w:rPr>
            </w:pPr>
            <w:r>
              <w:rPr>
                <w:rFonts w:hint="eastAsia" w:ascii="仿宋_GB2312" w:eastAsia="仿宋_GB2312" w:cs="ArialUnicodeMS" w:hAnsiTheme="minorHAnsi"/>
                <w:b/>
                <w:bCs/>
                <w:kern w:val="0"/>
                <w:sz w:val="28"/>
                <w:szCs w:val="28"/>
                <w:lang w:val="en-US" w:eastAsia="zh-CN" w:bidi="ar-SA"/>
              </w:rPr>
              <w:t>单位名称</w:t>
            </w:r>
          </w:p>
        </w:tc>
        <w:tc>
          <w:tcPr>
            <w:tcW w:w="1813" w:type="dxa"/>
            <w:vAlign w:val="center"/>
          </w:tcPr>
          <w:p>
            <w:pPr>
              <w:pStyle w:val="7"/>
              <w:widowControl/>
              <w:spacing w:before="0" w:beforeAutospacing="0" w:after="0" w:afterAutospacing="0" w:line="405" w:lineRule="atLeast"/>
              <w:jc w:val="center"/>
              <w:rPr>
                <w:rFonts w:hint="eastAsia" w:ascii="仿宋_GB2312" w:eastAsia="仿宋_GB2312" w:cs="ArialUnicodeMS" w:hAnsiTheme="minorHAnsi"/>
                <w:b/>
                <w:bCs/>
                <w:kern w:val="0"/>
                <w:sz w:val="28"/>
                <w:szCs w:val="28"/>
                <w:lang w:val="en-US" w:eastAsia="zh-CN" w:bidi="ar-SA"/>
              </w:rPr>
            </w:pPr>
            <w:r>
              <w:rPr>
                <w:rFonts w:hint="eastAsia" w:ascii="仿宋_GB2312" w:eastAsia="仿宋_GB2312" w:cs="ArialUnicodeMS" w:hAnsiTheme="minorHAnsi"/>
                <w:b/>
                <w:bCs/>
                <w:kern w:val="0"/>
                <w:sz w:val="28"/>
                <w:szCs w:val="28"/>
                <w:lang w:val="en-US" w:eastAsia="zh-CN" w:bidi="ar-SA"/>
              </w:rPr>
              <w:t>单位性质</w:t>
            </w:r>
          </w:p>
        </w:tc>
        <w:tc>
          <w:tcPr>
            <w:tcW w:w="1814" w:type="dxa"/>
            <w:vAlign w:val="center"/>
          </w:tcPr>
          <w:p>
            <w:pPr>
              <w:pStyle w:val="7"/>
              <w:widowControl/>
              <w:spacing w:before="0" w:beforeAutospacing="0" w:after="0" w:afterAutospacing="0" w:line="405" w:lineRule="atLeast"/>
              <w:jc w:val="center"/>
              <w:rPr>
                <w:rFonts w:hint="eastAsia" w:ascii="仿宋_GB2312" w:eastAsia="仿宋_GB2312" w:cs="ArialUnicodeMS" w:hAnsiTheme="minorHAnsi"/>
                <w:b/>
                <w:bCs/>
                <w:kern w:val="0"/>
                <w:sz w:val="28"/>
                <w:szCs w:val="28"/>
                <w:lang w:val="en-US" w:eastAsia="zh-CN" w:bidi="ar-SA"/>
              </w:rPr>
            </w:pPr>
            <w:r>
              <w:rPr>
                <w:rFonts w:hint="eastAsia" w:ascii="仿宋_GB2312" w:eastAsia="仿宋_GB2312" w:cs="ArialUnicodeMS" w:hAnsiTheme="minorHAnsi"/>
                <w:b/>
                <w:bCs/>
                <w:kern w:val="0"/>
                <w:sz w:val="28"/>
                <w:szCs w:val="28"/>
                <w:lang w:val="en-US" w:eastAsia="zh-CN" w:bidi="ar-SA"/>
              </w:rPr>
              <w:t>单位规格</w:t>
            </w:r>
          </w:p>
        </w:tc>
        <w:tc>
          <w:tcPr>
            <w:tcW w:w="2346" w:type="dxa"/>
            <w:vAlign w:val="center"/>
          </w:tcPr>
          <w:p>
            <w:pPr>
              <w:pStyle w:val="7"/>
              <w:widowControl/>
              <w:spacing w:before="0" w:beforeAutospacing="0" w:after="0" w:afterAutospacing="0" w:line="405" w:lineRule="atLeast"/>
              <w:jc w:val="center"/>
              <w:rPr>
                <w:rFonts w:ascii="仿宋_GB2312" w:hAnsi="Arial" w:cs="Arial"/>
                <w:b/>
                <w:color w:val="333333"/>
                <w:szCs w:val="24"/>
                <w:shd w:val="clear" w:color="auto" w:fill="FFFFFF"/>
              </w:rPr>
            </w:pPr>
            <w:r>
              <w:rPr>
                <w:rFonts w:hint="eastAsia" w:ascii="仿宋_GB2312" w:eastAsia="仿宋_GB2312" w:cs="ArialUnicodeMS" w:hAnsiTheme="minorHAnsi"/>
                <w:b/>
                <w:bCs/>
                <w:kern w:val="0"/>
                <w:sz w:val="28"/>
                <w:szCs w:val="28"/>
                <w:lang w:val="en-US" w:eastAsia="zh-CN" w:bidi="ar-SA"/>
              </w:rPr>
              <w:t>经费保障形式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5" w:hRule="exact"/>
        </w:trPr>
        <w:tc>
          <w:tcPr>
            <w:tcW w:w="890" w:type="dxa"/>
            <w:vAlign w:val="center"/>
          </w:tcPr>
          <w:p>
            <w:pPr>
              <w:pStyle w:val="7"/>
              <w:widowControl/>
              <w:spacing w:before="0" w:beforeAutospacing="0" w:after="0" w:afterAutospacing="0" w:line="405" w:lineRule="atLeast"/>
              <w:jc w:val="center"/>
              <w:rPr>
                <w:rFonts w:hint="eastAsia" w:ascii="仿宋_GB2312" w:hAnsi="Arial" w:eastAsia="仿宋_GB2312" w:cs="Arial"/>
                <w:color w:val="333333"/>
                <w:szCs w:val="24"/>
                <w:shd w:val="clear" w:color="auto" w:fill="FFFFFF"/>
                <w:lang w:val="en-US" w:eastAsia="zh-CN"/>
              </w:rPr>
            </w:pPr>
            <w:r>
              <w:rPr>
                <w:rFonts w:hint="eastAsia" w:ascii="仿宋_GB2312" w:eastAsia="仿宋_GB2312" w:cs="ArialUnicodeMS" w:hAnsiTheme="minorHAnsi"/>
                <w:kern w:val="0"/>
                <w:sz w:val="28"/>
                <w:szCs w:val="28"/>
                <w:lang w:val="en-US" w:eastAsia="zh-CN" w:bidi="ar-SA"/>
              </w:rPr>
              <w:t>1</w:t>
            </w:r>
          </w:p>
        </w:tc>
        <w:tc>
          <w:tcPr>
            <w:tcW w:w="2734" w:type="dxa"/>
            <w:vAlign w:val="center"/>
          </w:tcPr>
          <w:p>
            <w:pPr>
              <w:pStyle w:val="7"/>
              <w:widowControl/>
              <w:spacing w:before="0" w:beforeAutospacing="0" w:after="0" w:afterAutospacing="0" w:line="405" w:lineRule="atLeast"/>
              <w:jc w:val="center"/>
              <w:rPr>
                <w:rFonts w:hint="eastAsia" w:ascii="仿宋_GB2312" w:hAnsi="Arial" w:eastAsia="仿宋_GB2312" w:cs="Arial"/>
                <w:color w:val="333333"/>
                <w:szCs w:val="24"/>
                <w:shd w:val="clear" w:color="auto" w:fill="FFFFFF"/>
                <w:lang w:eastAsia="zh-CN"/>
              </w:rPr>
            </w:pPr>
            <w:r>
              <w:rPr>
                <w:rFonts w:hint="eastAsia" w:ascii="仿宋_GB2312" w:eastAsia="仿宋_GB2312" w:cs="ArialUnicodeMS" w:hAnsiTheme="minorHAnsi"/>
                <w:kern w:val="0"/>
                <w:sz w:val="28"/>
                <w:szCs w:val="28"/>
                <w:lang w:val="en-US" w:eastAsia="zh-CN" w:bidi="ar-SA"/>
              </w:rPr>
              <w:t>文安县城区街道办事处</w:t>
            </w:r>
          </w:p>
        </w:tc>
        <w:tc>
          <w:tcPr>
            <w:tcW w:w="1813" w:type="dxa"/>
            <w:vAlign w:val="center"/>
          </w:tcPr>
          <w:p>
            <w:pPr>
              <w:pStyle w:val="7"/>
              <w:widowControl/>
              <w:spacing w:before="0" w:beforeAutospacing="0" w:after="0" w:afterAutospacing="0" w:line="405" w:lineRule="atLeast"/>
              <w:jc w:val="center"/>
              <w:rPr>
                <w:rFonts w:hint="default" w:ascii="仿宋_GB2312" w:hAnsi="Arial" w:eastAsia="仿宋_GB2312" w:cs="Arial"/>
                <w:color w:val="333333"/>
                <w:szCs w:val="24"/>
                <w:shd w:val="clear" w:color="auto" w:fill="FFFFFF"/>
                <w:lang w:val="en-US" w:eastAsia="zh-CN"/>
              </w:rPr>
            </w:pPr>
            <w:r>
              <w:rPr>
                <w:rFonts w:hint="eastAsia" w:ascii="仿宋_GB2312" w:eastAsia="仿宋_GB2312" w:cs="ArialUnicodeMS" w:hAnsiTheme="minorHAnsi"/>
                <w:kern w:val="0"/>
                <w:sz w:val="28"/>
                <w:szCs w:val="28"/>
                <w:lang w:val="en-US" w:eastAsia="zh-CN" w:bidi="ar-SA"/>
              </w:rPr>
              <w:t>财政补助事业单位</w:t>
            </w:r>
          </w:p>
        </w:tc>
        <w:tc>
          <w:tcPr>
            <w:tcW w:w="1814" w:type="dxa"/>
            <w:vAlign w:val="center"/>
          </w:tcPr>
          <w:p>
            <w:pPr>
              <w:pStyle w:val="7"/>
              <w:widowControl/>
              <w:spacing w:before="0" w:beforeAutospacing="0" w:after="0" w:afterAutospacing="0" w:line="405" w:lineRule="atLeast"/>
              <w:jc w:val="center"/>
              <w:rPr>
                <w:rFonts w:hint="eastAsia" w:ascii="仿宋_GB2312" w:eastAsia="仿宋_GB2312" w:cs="ArialUnicodeMS" w:hAnsiTheme="minorHAnsi"/>
                <w:kern w:val="0"/>
                <w:sz w:val="28"/>
                <w:szCs w:val="28"/>
                <w:lang w:val="en-US" w:eastAsia="zh-CN" w:bidi="ar-SA"/>
              </w:rPr>
            </w:pPr>
            <w:r>
              <w:rPr>
                <w:rFonts w:hint="eastAsia" w:ascii="仿宋_GB2312" w:eastAsia="仿宋_GB2312" w:cs="ArialUnicodeMS" w:hAnsiTheme="minorHAnsi"/>
                <w:kern w:val="0"/>
                <w:sz w:val="28"/>
                <w:szCs w:val="28"/>
                <w:lang w:val="en-US" w:eastAsia="zh-CN" w:bidi="ar-SA"/>
              </w:rPr>
              <w:t>正科</w:t>
            </w:r>
          </w:p>
        </w:tc>
        <w:tc>
          <w:tcPr>
            <w:tcW w:w="2346" w:type="dxa"/>
            <w:vAlign w:val="center"/>
          </w:tcPr>
          <w:p>
            <w:pPr>
              <w:pStyle w:val="7"/>
              <w:widowControl/>
              <w:spacing w:before="0" w:beforeAutospacing="0" w:after="0" w:afterAutospacing="0" w:line="405" w:lineRule="atLeast"/>
              <w:jc w:val="center"/>
              <w:rPr>
                <w:rFonts w:hint="eastAsia" w:ascii="仿宋_GB2312" w:eastAsia="仿宋_GB2312" w:cs="ArialUnicodeMS" w:hAnsiTheme="minorHAnsi"/>
                <w:kern w:val="0"/>
                <w:sz w:val="28"/>
                <w:szCs w:val="28"/>
                <w:lang w:val="en-US" w:eastAsia="zh-CN" w:bidi="ar-SA"/>
              </w:rPr>
            </w:pPr>
            <w:r>
              <w:rPr>
                <w:rFonts w:hint="eastAsia" w:ascii="仿宋_GB2312" w:eastAsia="仿宋_GB2312" w:cs="ArialUnicodeMS" w:hAnsiTheme="minorHAnsi"/>
                <w:kern w:val="0"/>
                <w:sz w:val="28"/>
                <w:szCs w:val="28"/>
                <w:lang w:val="en-US" w:eastAsia="zh-CN" w:bidi="ar-SA"/>
              </w:rPr>
              <w:t>财政拨款</w:t>
            </w:r>
          </w:p>
        </w:tc>
      </w:tr>
    </w:tbl>
    <w:p>
      <w:pPr>
        <w:widowControl/>
        <w:spacing w:before="150" w:line="540" w:lineRule="atLeast"/>
        <w:jc w:val="left"/>
        <w:rPr>
          <w:rFonts w:ascii="仿宋_GB2312" w:hAnsi="Verdana" w:eastAsia="仿宋_GB2312" w:cs="宋体"/>
          <w:color w:val="484747"/>
          <w:kern w:val="0"/>
          <w:sz w:val="32"/>
          <w:szCs w:val="32"/>
        </w:rPr>
      </w:pPr>
    </w:p>
    <w:p>
      <w:pPr>
        <w:widowControl/>
        <w:spacing w:after="160" w:line="1200" w:lineRule="exact"/>
        <w:jc w:val="center"/>
        <w:rPr>
          <w:rFonts w:hint="eastAsia" w:eastAsia="黑体" w:cs="Times New Roman"/>
          <w:sz w:val="32"/>
          <w:szCs w:val="32"/>
          <w:lang w:eastAsia="zh-CN"/>
        </w:rPr>
      </w:pPr>
    </w:p>
    <w:p>
      <w:pPr>
        <w:widowControl/>
        <w:spacing w:after="160" w:line="1200" w:lineRule="exact"/>
        <w:jc w:val="center"/>
        <w:rPr>
          <w:rFonts w:hint="eastAsia" w:eastAsia="黑体" w:cs="Times New Roman"/>
          <w:sz w:val="32"/>
          <w:szCs w:val="32"/>
          <w:lang w:eastAsia="zh-CN"/>
        </w:rPr>
      </w:pPr>
    </w:p>
    <w:p>
      <w:pPr>
        <w:widowControl/>
        <w:spacing w:after="160" w:line="1200" w:lineRule="exact"/>
        <w:jc w:val="center"/>
        <w:rPr>
          <w:rFonts w:hint="eastAsia" w:eastAsia="黑体" w:cs="Times New Roman"/>
          <w:sz w:val="32"/>
          <w:szCs w:val="32"/>
          <w:lang w:eastAsia="zh-CN"/>
        </w:rPr>
      </w:pPr>
    </w:p>
    <w:p>
      <w:pPr>
        <w:widowControl/>
        <w:spacing w:after="160" w:line="1200" w:lineRule="exact"/>
        <w:jc w:val="left"/>
        <w:rPr>
          <w:rFonts w:hint="eastAsia" w:eastAsia="黑体" w:cs="Times New Roman"/>
          <w:sz w:val="32"/>
          <w:szCs w:val="32"/>
        </w:rPr>
      </w:pPr>
      <w:r>
        <w:rPr>
          <w:rFonts w:hint="eastAsia" w:eastAsia="黑体" w:cs="Times New Roman"/>
          <w:sz w:val="32"/>
          <w:szCs w:val="32"/>
          <w:lang w:eastAsia="zh-CN"/>
        </w:rPr>
        <w:t>第二部分：文安县</w:t>
      </w:r>
      <w:r>
        <w:rPr>
          <w:rFonts w:hint="eastAsia" w:eastAsia="黑体" w:cs="Times New Roman"/>
          <w:sz w:val="32"/>
          <w:szCs w:val="32"/>
          <w:lang w:val="en-US" w:eastAsia="zh-CN"/>
        </w:rPr>
        <w:t>城区街道办事处2018年度</w:t>
      </w:r>
      <w:r>
        <w:rPr>
          <w:rFonts w:eastAsia="黑体" w:cs="Times New Roman"/>
          <w:sz w:val="32"/>
          <w:szCs w:val="32"/>
        </w:rPr>
        <w:t>部门决算报表</w:t>
      </w:r>
      <w:r>
        <w:rPr>
          <w:rFonts w:hint="eastAsia" w:eastAsia="黑体" w:cs="Times New Roman"/>
          <w:sz w:val="32"/>
          <w:szCs w:val="32"/>
        </w:rPr>
        <w:t>（详见附表）</w:t>
      </w:r>
    </w:p>
    <w:p>
      <w:pPr>
        <w:spacing w:line="584" w:lineRule="exact"/>
        <w:rPr>
          <w:rFonts w:hint="eastAsia" w:ascii="黑体" w:eastAsia="黑体" w:cs="Times New Roman"/>
          <w:sz w:val="32"/>
          <w:szCs w:val="32"/>
        </w:rPr>
      </w:pPr>
      <w:r>
        <w:rPr>
          <w:rFonts w:hint="eastAsia" w:ascii="黑体" w:eastAsia="黑体" w:cs="Times New Roman"/>
          <w:sz w:val="32"/>
          <w:szCs w:val="32"/>
          <w:lang w:eastAsia="zh-CN"/>
        </w:rPr>
        <w:t>第三部分：</w:t>
      </w:r>
      <w:r>
        <w:rPr>
          <w:rFonts w:hint="eastAsia" w:eastAsia="黑体" w:cs="Times New Roman"/>
          <w:sz w:val="32"/>
          <w:szCs w:val="32"/>
          <w:lang w:eastAsia="zh-CN"/>
        </w:rPr>
        <w:t>文安县</w:t>
      </w:r>
      <w:r>
        <w:rPr>
          <w:rFonts w:hint="eastAsia" w:eastAsia="黑体" w:cs="Times New Roman"/>
          <w:sz w:val="32"/>
          <w:szCs w:val="32"/>
          <w:lang w:val="en-US" w:eastAsia="zh-CN"/>
        </w:rPr>
        <w:t>城区街道办事处</w:t>
      </w:r>
      <w:r>
        <w:rPr>
          <w:rFonts w:hint="eastAsia" w:ascii="黑体" w:eastAsia="黑体" w:cs="Times New Roman"/>
          <w:sz w:val="32"/>
          <w:szCs w:val="32"/>
        </w:rPr>
        <w:t>201</w:t>
      </w:r>
      <w:r>
        <w:rPr>
          <w:rFonts w:hint="eastAsia" w:ascii="黑体" w:eastAsia="黑体" w:cs="Times New Roman"/>
          <w:sz w:val="32"/>
          <w:szCs w:val="32"/>
          <w:lang w:val="en-US" w:eastAsia="zh-CN"/>
        </w:rPr>
        <w:t>8</w:t>
      </w:r>
      <w:r>
        <w:rPr>
          <w:rFonts w:hint="eastAsia" w:ascii="黑体" w:eastAsia="黑体" w:cs="Times New Roman"/>
          <w:sz w:val="32"/>
          <w:szCs w:val="32"/>
        </w:rPr>
        <w:t>年度部门决算情况说明</w:t>
      </w:r>
    </w:p>
    <w:p>
      <w:pPr>
        <w:snapToGrid w:val="0"/>
        <w:spacing w:line="584" w:lineRule="exact"/>
        <w:ind w:firstLine="643" w:firstLineChars="200"/>
        <w:rPr>
          <w:rFonts w:hint="eastAsia" w:ascii="楷体_GB2312" w:eastAsia="楷体_GB2312" w:cs="Times New Roman"/>
          <w:b/>
          <w:sz w:val="32"/>
          <w:szCs w:val="32"/>
          <w:lang w:val="en-US" w:eastAsia="zh-CN"/>
        </w:rPr>
      </w:pPr>
      <w:r>
        <w:rPr>
          <w:rFonts w:hint="eastAsia" w:ascii="楷体_GB2312" w:eastAsia="楷体_GB2312" w:cs="Times New Roman"/>
          <w:b/>
          <w:sz w:val="32"/>
          <w:szCs w:val="32"/>
          <w:lang w:val="en-US" w:eastAsia="zh-CN"/>
        </w:rPr>
        <w:t>一、收入支出决算总体情况说明</w:t>
      </w:r>
    </w:p>
    <w:p>
      <w:pPr>
        <w:adjustRightInd w:val="0"/>
        <w:snapToGrid w:val="0"/>
        <w:spacing w:after="0" w:line="580" w:lineRule="exact"/>
        <w:ind w:firstLine="640" w:firstLineChars="200"/>
        <w:rPr>
          <w:rFonts w:hint="eastAsia" w:ascii="仿宋_GB2312" w:hAnsi="Times New Roman" w:eastAsia="仿宋_GB2312" w:cs="DengXian-Regular"/>
          <w:sz w:val="32"/>
          <w:szCs w:val="32"/>
        </w:rPr>
      </w:pPr>
      <w:r>
        <w:rPr>
          <w:rFonts w:hint="eastAsia" w:ascii="仿宋_GB2312" w:hAnsi="Times New Roman" w:eastAsia="仿宋_GB2312" w:cs="DengXian-Regular"/>
          <w:sz w:val="32"/>
          <w:szCs w:val="32"/>
          <w:lang w:val="en-US" w:eastAsia="zh-CN"/>
        </w:rPr>
        <w:t>本部门2018年度收支总计（含结转和结余）1268.84</w:t>
      </w:r>
      <w:r>
        <w:rPr>
          <w:rFonts w:hint="eastAsia" w:ascii="仿宋_GB2312" w:hAnsi="Times New Roman" w:eastAsia="仿宋_GB2312" w:cs="DengXian-Regular"/>
          <w:sz w:val="32"/>
          <w:szCs w:val="32"/>
        </w:rPr>
        <w:t>万元</w:t>
      </w:r>
      <w:r>
        <w:rPr>
          <w:rFonts w:hint="eastAsia" w:ascii="仿宋_GB2312" w:hAnsi="Times New Roman" w:eastAsia="仿宋_GB2312" w:cs="DengXian-Regular"/>
          <w:sz w:val="32"/>
          <w:szCs w:val="32"/>
          <w:lang w:eastAsia="zh-CN"/>
        </w:rPr>
        <w:t>。</w:t>
      </w:r>
      <w:r>
        <w:rPr>
          <w:rFonts w:hint="eastAsia" w:ascii="仿宋_GB2312" w:hAnsi="Times New Roman" w:eastAsia="仿宋_GB2312" w:cs="DengXian-Regular"/>
          <w:sz w:val="32"/>
          <w:szCs w:val="32"/>
          <w:lang w:val="en-US" w:eastAsia="zh-CN"/>
        </w:rPr>
        <w:t>与2017年度决算相比，收支各减少了98.14万元</w:t>
      </w:r>
      <w:r>
        <w:rPr>
          <w:rFonts w:hint="eastAsia" w:ascii="仿宋_GB2312" w:hAnsi="Times New Roman" w:eastAsia="仿宋_GB2312" w:cs="DengXian-Regular"/>
          <w:sz w:val="32"/>
          <w:szCs w:val="32"/>
        </w:rPr>
        <w:t>，</w:t>
      </w:r>
      <w:r>
        <w:rPr>
          <w:rFonts w:hint="eastAsia" w:ascii="仿宋_GB2312" w:hAnsi="Times New Roman" w:eastAsia="仿宋_GB2312" w:cs="DengXian-Regular"/>
          <w:sz w:val="32"/>
          <w:szCs w:val="32"/>
          <w:lang w:val="en-US" w:eastAsia="zh-CN"/>
        </w:rPr>
        <w:t>下降7.2%，主要是</w:t>
      </w:r>
      <w:r>
        <w:rPr>
          <w:rFonts w:hint="eastAsia" w:ascii="仿宋_GB2312" w:hAnsi="Times New Roman" w:eastAsia="仿宋_GB2312" w:cs="DengXian-Regular"/>
          <w:sz w:val="32"/>
          <w:szCs w:val="32"/>
        </w:rPr>
        <w:t>人员</w:t>
      </w:r>
      <w:r>
        <w:rPr>
          <w:rFonts w:hint="eastAsia" w:ascii="仿宋_GB2312" w:hAnsi="Times New Roman" w:eastAsia="仿宋_GB2312" w:cs="DengXian-Regular"/>
          <w:sz w:val="32"/>
          <w:szCs w:val="32"/>
          <w:lang w:eastAsia="zh-CN"/>
        </w:rPr>
        <w:t>调出、老旧小区绿化、硬化工程减少等因素</w:t>
      </w:r>
      <w:r>
        <w:rPr>
          <w:rFonts w:hint="eastAsia" w:ascii="仿宋_GB2312" w:hAnsi="Times New Roman" w:eastAsia="仿宋_GB2312" w:cs="DengXian-Regular"/>
          <w:sz w:val="32"/>
          <w:szCs w:val="32"/>
        </w:rPr>
        <w:t>。</w:t>
      </w:r>
    </w:p>
    <w:p>
      <w:pPr>
        <w:snapToGrid w:val="0"/>
        <w:spacing w:line="584" w:lineRule="exact"/>
        <w:ind w:firstLine="643" w:firstLineChars="200"/>
        <w:rPr>
          <w:rFonts w:hint="eastAsia" w:ascii="楷体_GB2312" w:eastAsia="楷体_GB2312" w:cs="Times New Roman"/>
          <w:b/>
          <w:sz w:val="32"/>
          <w:szCs w:val="32"/>
          <w:lang w:val="en-US" w:eastAsia="zh-CN"/>
        </w:rPr>
      </w:pPr>
      <w:r>
        <w:rPr>
          <w:rFonts w:hint="eastAsia" w:ascii="楷体_GB2312" w:eastAsia="楷体_GB2312" w:cs="Times New Roman"/>
          <w:b/>
          <w:sz w:val="32"/>
          <w:szCs w:val="32"/>
          <w:lang w:val="en-US" w:eastAsia="zh-CN"/>
        </w:rPr>
        <w:t>二、收入决算情况说明</w:t>
      </w:r>
    </w:p>
    <w:p>
      <w:pPr>
        <w:adjustRightInd w:val="0"/>
        <w:snapToGrid w:val="0"/>
        <w:spacing w:after="0" w:line="580" w:lineRule="exact"/>
        <w:ind w:firstLine="640" w:firstLineChars="200"/>
        <w:rPr>
          <w:rFonts w:hint="default" w:ascii="仿宋_GB2312" w:hAnsi="Times New Roman" w:eastAsia="仿宋_GB2312" w:cs="DengXian-Regular"/>
          <w:color w:val="FF0000"/>
          <w:sz w:val="32"/>
          <w:szCs w:val="32"/>
          <w:lang w:val="en-US" w:eastAsia="zh-CN"/>
        </w:rPr>
      </w:pPr>
      <w:r>
        <w:rPr>
          <w:rFonts w:hint="eastAsia" w:ascii="仿宋_GB2312" w:hAnsi="Times New Roman" w:eastAsia="仿宋_GB2312" w:cs="DengXian-Regular"/>
          <w:sz w:val="32"/>
          <w:szCs w:val="32"/>
          <w:lang w:val="en-US" w:eastAsia="zh-CN"/>
        </w:rPr>
        <w:t>本部门2018年度本年收入合计1268.84万元，其中：财政拨款收入1071.01万元，占84%；政府性基金预算财政拨款收入197.83万元，占16%。</w:t>
      </w:r>
    </w:p>
    <w:p>
      <w:pPr>
        <w:snapToGrid w:val="0"/>
        <w:spacing w:line="584" w:lineRule="exact"/>
        <w:ind w:firstLine="643" w:firstLineChars="200"/>
        <w:rPr>
          <w:rFonts w:hint="eastAsia" w:ascii="楷体_GB2312" w:eastAsia="楷体_GB2312" w:cs="Times New Roman"/>
          <w:b/>
          <w:sz w:val="32"/>
          <w:szCs w:val="32"/>
          <w:lang w:val="en-US" w:eastAsia="zh-CN"/>
        </w:rPr>
      </w:pPr>
      <w:r>
        <w:rPr>
          <w:rFonts w:hint="eastAsia" w:ascii="楷体_GB2312" w:eastAsia="楷体_GB2312" w:cs="Times New Roman"/>
          <w:b/>
          <w:sz w:val="32"/>
          <w:szCs w:val="32"/>
          <w:lang w:val="en-US" w:eastAsia="zh-CN"/>
        </w:rPr>
        <w:t>三、支出决算情况说明</w:t>
      </w:r>
    </w:p>
    <w:p>
      <w:pPr>
        <w:adjustRightInd w:val="0"/>
        <w:snapToGrid w:val="0"/>
        <w:spacing w:after="0" w:line="580" w:lineRule="exact"/>
        <w:ind w:firstLine="640" w:firstLineChars="200"/>
        <w:rPr>
          <w:rFonts w:hint="default" w:ascii="仿宋_GB2312" w:hAnsi="Times New Roman" w:eastAsia="仿宋_GB2312" w:cs="DengXian-Regular"/>
          <w:color w:val="FF0000"/>
          <w:sz w:val="32"/>
          <w:szCs w:val="32"/>
          <w:lang w:val="en-US" w:eastAsia="zh-CN"/>
        </w:rPr>
      </w:pPr>
      <w:r>
        <w:rPr>
          <w:rFonts w:hint="eastAsia" w:ascii="仿宋_GB2312" w:hAnsi="Times New Roman" w:eastAsia="仿宋_GB2312" w:cs="DengXian-Regular"/>
          <w:sz w:val="32"/>
          <w:szCs w:val="32"/>
          <w:lang w:val="en-US" w:eastAsia="zh-CN"/>
        </w:rPr>
        <w:t>本部门2018年度本年支出合计1254.93万元，其中：基本支出525.02万元，占42%；项目支出729.91万元，占58%。</w:t>
      </w:r>
    </w:p>
    <w:p>
      <w:pPr>
        <w:snapToGrid w:val="0"/>
        <w:spacing w:line="584" w:lineRule="exact"/>
        <w:ind w:firstLine="643" w:firstLineChars="200"/>
        <w:rPr>
          <w:rFonts w:hint="eastAsia" w:ascii="楷体_GB2312" w:eastAsia="楷体_GB2312" w:cs="Times New Roman"/>
          <w:b/>
          <w:sz w:val="32"/>
          <w:szCs w:val="32"/>
          <w:lang w:val="en-US" w:eastAsia="zh-CN"/>
        </w:rPr>
      </w:pPr>
      <w:r>
        <w:rPr>
          <w:rFonts w:hint="eastAsia" w:ascii="楷体_GB2312" w:eastAsia="楷体_GB2312" w:cs="Times New Roman"/>
          <w:b/>
          <w:sz w:val="32"/>
          <w:szCs w:val="32"/>
          <w:lang w:val="en-US" w:eastAsia="zh-CN"/>
        </w:rPr>
        <w:t>四、财政拨款收入支出决算情况说明</w:t>
      </w:r>
    </w:p>
    <w:p>
      <w:pPr>
        <w:spacing w:after="0" w:line="580" w:lineRule="exact"/>
        <w:ind w:firstLine="643" w:firstLineChars="200"/>
        <w:rPr>
          <w:rFonts w:hint="eastAsia" w:ascii="楷体_GB2312" w:hAnsi="Times New Roman" w:eastAsia="楷体_GB2312" w:cs="DengXian-Bold"/>
          <w:b/>
          <w:bCs/>
          <w:sz w:val="32"/>
          <w:szCs w:val="32"/>
        </w:rPr>
      </w:pPr>
      <w:r>
        <w:rPr>
          <w:rFonts w:hint="eastAsia" w:ascii="楷体_GB2312" w:hAnsi="Times New Roman" w:eastAsia="楷体_GB2312" w:cs="DengXian-Bold"/>
          <w:b/>
          <w:bCs/>
          <w:sz w:val="32"/>
          <w:szCs w:val="32"/>
        </w:rPr>
        <w:t>（一）财政拨款收支与2017 年度决算对比情况</w:t>
      </w:r>
    </w:p>
    <w:p>
      <w:pPr>
        <w:adjustRightInd w:val="0"/>
        <w:snapToGrid w:val="0"/>
        <w:spacing w:after="0" w:line="580" w:lineRule="exact"/>
        <w:ind w:firstLine="640" w:firstLineChars="200"/>
        <w:rPr>
          <w:rFonts w:hint="eastAsia" w:ascii="仿宋_GB2312" w:hAnsi="Times New Roman" w:eastAsia="仿宋_GB2312" w:cs="DengXian-Regular"/>
          <w:color w:val="000000" w:themeColor="text1"/>
          <w:sz w:val="32"/>
          <w:szCs w:val="32"/>
          <w:lang w:val="en-US" w:eastAsia="zh-CN"/>
          <w14:textFill>
            <w14:solidFill>
              <w14:schemeClr w14:val="tx1"/>
            </w14:solidFill>
          </w14:textFill>
        </w:rPr>
      </w:pP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本部门2018年度财政拨款本年收入1268.84万元,比2017年度减少98.14万元，减少7.2%，主要是人员调出、老旧小区绿化、硬化工程减少等因素；本年支出1254.93万元，比2017年度减少109.75万元，减少8%，主要是人员调出、老旧小区绿化、硬化工程减少等因素。</w:t>
      </w:r>
    </w:p>
    <w:p>
      <w:pPr>
        <w:adjustRightInd w:val="0"/>
        <w:snapToGrid w:val="0"/>
        <w:spacing w:after="0" w:line="580" w:lineRule="exact"/>
        <w:ind w:firstLine="640" w:firstLineChars="200"/>
        <w:rPr>
          <w:rFonts w:hint="default" w:ascii="仿宋_GB2312" w:hAnsi="Times New Roman" w:eastAsia="仿宋_GB2312" w:cs="DengXian-Regular"/>
          <w:color w:val="FF0000"/>
          <w:sz w:val="32"/>
          <w:szCs w:val="32"/>
          <w:lang w:val="en-US" w:eastAsia="zh-CN"/>
        </w:rPr>
      </w:pP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其中：</w:t>
      </w:r>
      <w:r>
        <w:rPr>
          <w:rFonts w:hint="eastAsia" w:ascii="仿宋_GB2312" w:eastAsia="仿宋_GB2312" w:cs="DengXian-Regular"/>
          <w:sz w:val="32"/>
          <w:szCs w:val="32"/>
        </w:rPr>
        <w:t>一般公共预算财政拨款本年收入</w:t>
      </w:r>
      <w:r>
        <w:rPr>
          <w:rFonts w:hint="eastAsia" w:ascii="仿宋_GB2312" w:eastAsia="仿宋_GB2312" w:cs="DengXian-Regular"/>
          <w:sz w:val="32"/>
          <w:szCs w:val="32"/>
          <w:lang w:val="en-US" w:eastAsia="zh-CN"/>
        </w:rPr>
        <w:t>1071.01万元，比2017年度增加25.38万元，增加2.4%；主要是人员工资调整、追加项目等因素；本年支出1062.11万元，比2017年度增加18.78万元，增加1.8%，主要是人员工资调整、追加项目等因素。</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政府性基金预算财政拨款本年收入197.83万元，比2017年度减少123.52万元，降低38.4%，主要是人员调出、老旧小区绿化、硬化工程减少等因素；本年支出192.83万元，比2017年度降低128.52万元，降低40%，主要是人员调出、老旧小区绿化、硬化工程减少等因素。</w:t>
      </w:r>
    </w:p>
    <w:p>
      <w:pPr>
        <w:spacing w:after="0" w:line="580" w:lineRule="exact"/>
        <w:ind w:firstLine="643" w:firstLineChars="200"/>
        <w:rPr>
          <w:rFonts w:hint="eastAsia" w:ascii="楷体_GB2312" w:hAnsi="Times New Roman" w:eastAsia="楷体_GB2312" w:cs="DengXian-Bold"/>
          <w:b/>
          <w:bCs/>
          <w:sz w:val="32"/>
          <w:szCs w:val="32"/>
        </w:rPr>
      </w:pPr>
      <w:r>
        <w:rPr>
          <w:rFonts w:hint="eastAsia" w:ascii="楷体_GB2312" w:hAnsi="Times New Roman" w:eastAsia="楷体_GB2312" w:cs="DengXian-Bold"/>
          <w:b/>
          <w:bCs/>
          <w:sz w:val="32"/>
          <w:szCs w:val="32"/>
        </w:rPr>
        <w:t>（二）财政拨款收支与年初预算数对比情况</w:t>
      </w:r>
    </w:p>
    <w:p>
      <w:pPr>
        <w:adjustRightInd w:val="0"/>
        <w:snapToGrid w:val="0"/>
        <w:spacing w:after="0" w:line="580" w:lineRule="exact"/>
        <w:ind w:firstLine="640"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val="en-US" w:eastAsia="zh-CN"/>
        </w:rPr>
        <w:t>本部门2018年度财政拨款本年收入1268.84万元，完成年初预算的227.9%,比年初预算增加712.2万元，决算数大于预算数主要是人员工资调整、追加项目等因素；本年支出1254.93万元，完成年初预算的225.4%，决算大于预算数主要是人员工资调整、追加项目等因素。</w:t>
      </w:r>
    </w:p>
    <w:p>
      <w:pPr>
        <w:adjustRightInd w:val="0"/>
        <w:snapToGrid w:val="0"/>
        <w:spacing w:after="0" w:line="580" w:lineRule="exact"/>
        <w:ind w:firstLine="640"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val="en-US" w:eastAsia="zh-CN"/>
        </w:rPr>
        <w:t>其中，一般</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公共</w:t>
      </w:r>
      <w:r>
        <w:rPr>
          <w:rFonts w:hint="eastAsia" w:ascii="仿宋_GB2312" w:hAnsi="Times New Roman" w:eastAsia="仿宋_GB2312" w:cs="DengXian-Regular"/>
          <w:sz w:val="32"/>
          <w:szCs w:val="32"/>
          <w:lang w:val="en-US" w:eastAsia="zh-CN"/>
        </w:rPr>
        <w:t>预算财政拨款本年收入完成年初预算192.4%，比年初预算增加514.37万元，决算数大于预算数主要是人员工资调整、追加项目款增加；支出完成年初预算225.4%，比年初预算增加698.29万元，决算数大于预算数主要是人员工资调整支出、追加项目支出。政府性基金预算财政拨款本年收入比年初预算增加197.83万元，决算数大于预算数主要是项目追加资金增加；支出完成年初预算225.4%，比年初预算增加698.29万元，决算数大于预算数主要是项目追加资金增加。</w:t>
      </w:r>
    </w:p>
    <w:p>
      <w:pPr>
        <w:numPr>
          <w:ilvl w:val="0"/>
          <w:numId w:val="1"/>
        </w:numPr>
        <w:adjustRightInd w:val="0"/>
        <w:snapToGrid w:val="0"/>
        <w:spacing w:after="0" w:line="580" w:lineRule="exact"/>
        <w:ind w:left="420" w:leftChars="200"/>
        <w:rPr>
          <w:rFonts w:ascii="楷体_GB2312" w:eastAsia="楷体_GB2312" w:cs="DengXian-Bold"/>
          <w:b/>
          <w:bCs/>
          <w:sz w:val="32"/>
          <w:szCs w:val="32"/>
        </w:rPr>
      </w:pPr>
      <w:r>
        <w:rPr>
          <w:rFonts w:hint="eastAsia" w:ascii="楷体_GB2312" w:hAnsi="Times New Roman" w:eastAsia="楷体_GB2312" w:cs="DengXian-Bold"/>
          <w:b/>
          <w:bCs/>
          <w:sz w:val="32"/>
          <w:szCs w:val="32"/>
        </w:rPr>
        <w:t>财政拨款</w:t>
      </w:r>
      <w:r>
        <w:rPr>
          <w:rFonts w:hint="eastAsia" w:ascii="楷体_GB2312" w:eastAsia="楷体_GB2312" w:cs="DengXian-Bold"/>
          <w:b/>
          <w:bCs/>
          <w:sz w:val="32"/>
          <w:szCs w:val="32"/>
        </w:rPr>
        <w:t>支出决算结构情况。</w:t>
      </w:r>
    </w:p>
    <w:p>
      <w:pPr>
        <w:adjustRightInd w:val="0"/>
        <w:snapToGrid w:val="0"/>
        <w:spacing w:after="0" w:line="580" w:lineRule="exact"/>
        <w:ind w:firstLine="640"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val="en-US" w:eastAsia="zh-CN"/>
        </w:rPr>
        <w:t>2018 年度财政拨款支出1254.93万元，主要用于以下方面：社会保障和就业（类）支出838.26万元，占66.8%；节能环保支出0.23万元，占0.02%；城乡社区支出413.04万元，占32.91%；住房保障（类）支出3.4万元，占0.27%。</w:t>
      </w:r>
    </w:p>
    <w:p>
      <w:pPr>
        <w:adjustRightInd w:val="0"/>
        <w:snapToGrid w:val="0"/>
        <w:spacing w:after="0" w:line="580" w:lineRule="exact"/>
        <w:ind w:left="420" w:leftChars="200"/>
        <w:rPr>
          <w:rFonts w:ascii="楷体_GB2312" w:eastAsia="楷体_GB2312" w:cs="DengXian-Bold"/>
          <w:b/>
          <w:bCs/>
          <w:sz w:val="32"/>
          <w:szCs w:val="32"/>
        </w:rPr>
      </w:pPr>
      <w:r>
        <w:rPr>
          <w:rFonts w:hint="eastAsia" w:ascii="楷体_GB2312" w:eastAsia="楷体_GB2312" w:cs="DengXian-Bold"/>
          <w:b/>
          <w:bCs/>
          <w:sz w:val="32"/>
          <w:szCs w:val="32"/>
        </w:rPr>
        <w:t>（四）一般公共预算财政拨款基本支出决算情况说明</w:t>
      </w:r>
    </w:p>
    <w:p>
      <w:pPr>
        <w:adjustRightInd w:val="0"/>
        <w:snapToGrid w:val="0"/>
        <w:spacing w:after="0" w:line="580" w:lineRule="exact"/>
        <w:ind w:firstLine="640" w:firstLineChars="200"/>
        <w:rPr>
          <w:rFonts w:hint="eastAsia" w:ascii="仿宋_GB2312" w:eastAsia="仿宋_GB2312" w:cs="DengXian-Regular"/>
          <w:sz w:val="32"/>
          <w:szCs w:val="32"/>
          <w:lang w:eastAsia="zh-CN"/>
        </w:rPr>
      </w:pPr>
      <w:r>
        <w:rPr>
          <w:rFonts w:hint="eastAsia" w:ascii="仿宋_GB2312" w:hAnsi="Times New Roman" w:eastAsia="仿宋_GB2312" w:cs="DengXian-Regular"/>
          <w:sz w:val="32"/>
          <w:szCs w:val="32"/>
          <w:lang w:val="en-US" w:eastAsia="zh-CN"/>
        </w:rPr>
        <w:t>2018 年度一般公共预算财政拨款基本支出1062.11万元，其中：人员经费488.79万元，</w:t>
      </w:r>
      <w:r>
        <w:rPr>
          <w:rFonts w:hint="eastAsia" w:ascii="仿宋_GB2312" w:eastAsia="仿宋_GB2312" w:cs="DengXian-Regular"/>
          <w:sz w:val="32"/>
          <w:szCs w:val="32"/>
        </w:rPr>
        <w:t>主要包括基本工资、津贴补贴、奖金、伙食补助费、绩效工资、机关事业单位基本养老保险缴费、职业年金缴费、职工基本医疗保险缴费、公务员医疗补助缴费、住房公积金、医疗费、其他社会保障缴费、其他工资福利支出、离休费、退休费、抚恤金、生活补助、医疗费补助、奖励金、其他对个人和家庭的补助支出等</w:t>
      </w:r>
      <w:r>
        <w:rPr>
          <w:rFonts w:hint="eastAsia" w:ascii="仿宋_GB2312" w:hAnsi="Times New Roman" w:eastAsia="仿宋_GB2312" w:cs="DengXian-Regular"/>
          <w:sz w:val="32"/>
          <w:szCs w:val="32"/>
          <w:lang w:val="en-US" w:eastAsia="zh-CN"/>
        </w:rPr>
        <w:t>；公用经费36.23万元，</w:t>
      </w:r>
      <w:r>
        <w:rPr>
          <w:rFonts w:hint="eastAsia" w:ascii="仿宋_GB2312" w:eastAsia="仿宋_GB2312" w:cs="DengXian-Regular"/>
          <w:sz w:val="32"/>
          <w:szCs w:val="32"/>
        </w:rPr>
        <w:t>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公务用车购置、其他资本性支出等。</w:t>
      </w:r>
    </w:p>
    <w:p>
      <w:pPr>
        <w:pStyle w:val="3"/>
        <w:spacing w:before="0" w:after="0" w:line="580" w:lineRule="exact"/>
        <w:ind w:firstLine="643" w:firstLineChars="200"/>
        <w:rPr>
          <w:rFonts w:hint="eastAsia" w:ascii="楷体_GB2312" w:hAnsi="Calibri" w:eastAsia="楷体_GB2312" w:cs="Times New Roman"/>
          <w:b/>
          <w:bCs w:val="0"/>
          <w:kern w:val="2"/>
          <w:sz w:val="32"/>
          <w:szCs w:val="32"/>
          <w:lang w:val="en-US" w:eastAsia="zh-CN" w:bidi="ar-SA"/>
        </w:rPr>
      </w:pPr>
      <w:r>
        <w:rPr>
          <w:rFonts w:hint="eastAsia" w:ascii="楷体_GB2312" w:hAnsi="Calibri" w:eastAsia="楷体_GB2312" w:cs="Times New Roman"/>
          <w:b/>
          <w:bCs w:val="0"/>
          <w:kern w:val="2"/>
          <w:sz w:val="32"/>
          <w:szCs w:val="32"/>
          <w:lang w:val="en-US" w:eastAsia="zh-CN" w:bidi="ar-SA"/>
        </w:rPr>
        <w:t>五、一般公共预算财政拨款“三公” 经费支出决算情况说明</w:t>
      </w:r>
    </w:p>
    <w:p>
      <w:pPr>
        <w:adjustRightInd w:val="0"/>
        <w:snapToGrid w:val="0"/>
        <w:spacing w:after="0" w:line="580" w:lineRule="exact"/>
        <w:ind w:firstLine="640" w:firstLineChars="200"/>
        <w:rPr>
          <w:rFonts w:hint="eastAsia" w:ascii="仿宋_GB2312" w:hAnsi="Times New Roman" w:eastAsia="仿宋_GB2312" w:cs="DengXian-Regular"/>
          <w:color w:val="000000" w:themeColor="text1"/>
          <w:sz w:val="32"/>
          <w:szCs w:val="32"/>
          <w:lang w:val="en-US" w:eastAsia="zh-CN"/>
          <w14:textFill>
            <w14:solidFill>
              <w14:schemeClr w14:val="tx1"/>
            </w14:solidFill>
          </w14:textFill>
        </w:rPr>
      </w:pPr>
      <w:r>
        <w:rPr>
          <w:rFonts w:hint="eastAsia" w:ascii="仿宋_GB2312" w:hAnsi="Times New Roman" w:eastAsia="仿宋_GB2312" w:cs="DengXian-Regular"/>
          <w:sz w:val="32"/>
          <w:szCs w:val="32"/>
          <w:lang w:val="en-US" w:eastAsia="zh-CN"/>
        </w:rPr>
        <w:t>本部门2018年度一般公共预算财政拨款“三公”经费支出共计4.8万元，与初预算数相同，</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与2017年度决算数增加0.8万元，增长20%，主要是2018年公务用车财政预算标准上调。具体情况如下：</w:t>
      </w:r>
    </w:p>
    <w:p>
      <w:pPr>
        <w:adjustRightInd w:val="0"/>
        <w:snapToGrid w:val="0"/>
        <w:spacing w:line="584" w:lineRule="exact"/>
        <w:ind w:firstLine="643" w:firstLineChars="200"/>
        <w:rPr>
          <w:rFonts w:eastAsia="仿宋_GB2312"/>
          <w:sz w:val="32"/>
          <w:szCs w:val="32"/>
          <w:highlight w:val="yellow"/>
        </w:rPr>
      </w:pPr>
      <w:r>
        <w:rPr>
          <w:rFonts w:hint="eastAsia" w:eastAsia="楷体_GB2312"/>
          <w:b/>
          <w:bCs/>
          <w:sz w:val="32"/>
          <w:szCs w:val="32"/>
          <w:lang w:eastAsia="zh-CN"/>
        </w:rPr>
        <w:t>（</w:t>
      </w:r>
      <w:r>
        <w:rPr>
          <w:rFonts w:hint="eastAsia" w:eastAsia="楷体_GB2312"/>
          <w:b/>
          <w:bCs/>
          <w:sz w:val="32"/>
          <w:szCs w:val="32"/>
          <w:lang w:val="en-US" w:eastAsia="zh-CN"/>
        </w:rPr>
        <w:t>一</w:t>
      </w:r>
      <w:r>
        <w:rPr>
          <w:rFonts w:hint="eastAsia" w:eastAsia="楷体_GB2312"/>
          <w:b/>
          <w:bCs/>
          <w:sz w:val="32"/>
          <w:szCs w:val="32"/>
          <w:lang w:eastAsia="zh-CN"/>
        </w:rPr>
        <w:t>）</w:t>
      </w:r>
      <w:r>
        <w:rPr>
          <w:rFonts w:eastAsia="楷体_GB2312"/>
          <w:b/>
          <w:bCs/>
          <w:sz w:val="32"/>
          <w:szCs w:val="32"/>
        </w:rPr>
        <w:t>因公出国（境）费支出</w:t>
      </w:r>
      <w:r>
        <w:rPr>
          <w:rFonts w:hint="eastAsia" w:eastAsia="楷体_GB2312"/>
          <w:b/>
          <w:bCs/>
          <w:sz w:val="32"/>
          <w:szCs w:val="32"/>
          <w:lang w:val="en-US" w:eastAsia="zh-CN"/>
        </w:rPr>
        <w:t>0</w:t>
      </w:r>
      <w:r>
        <w:rPr>
          <w:rFonts w:eastAsia="楷体_GB2312"/>
          <w:b/>
          <w:bCs/>
          <w:sz w:val="32"/>
          <w:szCs w:val="32"/>
        </w:rPr>
        <w:t>万元。</w:t>
      </w:r>
      <w:r>
        <w:rPr>
          <w:rFonts w:eastAsia="仿宋_GB2312"/>
          <w:sz w:val="32"/>
          <w:szCs w:val="32"/>
        </w:rPr>
        <w:t>本部门201</w:t>
      </w:r>
      <w:r>
        <w:rPr>
          <w:rFonts w:hint="eastAsia" w:eastAsia="仿宋_GB2312"/>
          <w:sz w:val="32"/>
          <w:szCs w:val="32"/>
        </w:rPr>
        <w:t>8</w:t>
      </w:r>
      <w:r>
        <w:rPr>
          <w:rFonts w:eastAsia="仿宋_GB2312"/>
          <w:sz w:val="32"/>
          <w:szCs w:val="32"/>
        </w:rPr>
        <w:t>年度</w:t>
      </w:r>
      <w:r>
        <w:rPr>
          <w:rFonts w:hint="eastAsia" w:ascii="仿宋_GB2312" w:eastAsia="仿宋_GB2312" w:cs="DengXian-Regular"/>
          <w:sz w:val="32"/>
          <w:szCs w:val="32"/>
        </w:rPr>
        <w:t>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人/参加其他单位组织的因公出国（境）团组</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个、共</w:t>
      </w:r>
      <w:r>
        <w:rPr>
          <w:rFonts w:hint="eastAsia" w:ascii="仿宋_GB2312" w:eastAsia="仿宋_GB2312" w:cs="DengXian-Regular"/>
          <w:sz w:val="32"/>
          <w:szCs w:val="32"/>
          <w:lang w:val="en-US" w:eastAsia="zh-CN"/>
        </w:rPr>
        <w:t>0</w:t>
      </w:r>
      <w:r>
        <w:rPr>
          <w:rFonts w:hint="eastAsia" w:ascii="仿宋_GB2312" w:eastAsia="仿宋_GB2312" w:cs="DengXian-Regular"/>
          <w:sz w:val="32"/>
          <w:szCs w:val="32"/>
        </w:rPr>
        <w:t>人/无本单位组织的出国（境）团组。</w:t>
      </w:r>
      <w:r>
        <w:rPr>
          <w:rFonts w:eastAsia="仿宋_GB2312"/>
          <w:sz w:val="32"/>
          <w:szCs w:val="32"/>
        </w:rPr>
        <w:t>因公出国（境）费支出</w:t>
      </w:r>
      <w:r>
        <w:rPr>
          <w:rFonts w:hint="eastAsia" w:eastAsia="仿宋_GB2312"/>
          <w:sz w:val="32"/>
          <w:szCs w:val="32"/>
        </w:rPr>
        <w:t>比</w:t>
      </w:r>
      <w:r>
        <w:rPr>
          <w:rFonts w:eastAsia="仿宋_GB2312"/>
          <w:sz w:val="32"/>
          <w:szCs w:val="32"/>
        </w:rPr>
        <w:t>年初预算增加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%，主要是</w:t>
      </w:r>
      <w:r>
        <w:rPr>
          <w:rFonts w:hint="eastAsia" w:eastAsia="仿宋_GB2312"/>
          <w:sz w:val="32"/>
          <w:szCs w:val="32"/>
          <w:lang w:eastAsia="zh-CN"/>
        </w:rPr>
        <w:t>本单位当年无因公出国（境）费支出</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%，主要是</w:t>
      </w:r>
      <w:r>
        <w:rPr>
          <w:rFonts w:hint="eastAsia" w:eastAsia="仿宋_GB2312"/>
          <w:sz w:val="32"/>
          <w:szCs w:val="32"/>
          <w:lang w:eastAsia="zh-CN"/>
        </w:rPr>
        <w:t>本单位当年无因公出国（境）费支出</w:t>
      </w:r>
      <w:r>
        <w:rPr>
          <w:rFonts w:eastAsia="仿宋_GB2312"/>
          <w:sz w:val="32"/>
          <w:szCs w:val="32"/>
        </w:rPr>
        <w:t>。</w:t>
      </w:r>
    </w:p>
    <w:p>
      <w:pPr>
        <w:adjustRightInd w:val="0"/>
        <w:snapToGrid w:val="0"/>
        <w:spacing w:line="584" w:lineRule="exact"/>
        <w:ind w:firstLine="643" w:firstLineChars="200"/>
        <w:rPr>
          <w:rFonts w:eastAsia="楷体_GB2312"/>
          <w:b/>
          <w:bCs/>
          <w:sz w:val="32"/>
          <w:szCs w:val="32"/>
        </w:rPr>
      </w:pPr>
    </w:p>
    <w:p>
      <w:pPr>
        <w:adjustRightInd w:val="0"/>
        <w:snapToGrid w:val="0"/>
        <w:spacing w:after="0" w:line="580" w:lineRule="exact"/>
        <w:ind w:firstLine="643" w:firstLineChars="200"/>
        <w:rPr>
          <w:rFonts w:hint="eastAsia" w:ascii="仿宋_GB2312" w:hAnsi="Times New Roman" w:eastAsia="仿宋_GB2312" w:cs="DengXian-Regular"/>
          <w:color w:val="FF0000"/>
          <w:sz w:val="32"/>
          <w:szCs w:val="32"/>
          <w:lang w:val="en-US" w:eastAsia="zh-CN"/>
        </w:rPr>
      </w:pPr>
      <w:r>
        <w:rPr>
          <w:rFonts w:hint="eastAsia" w:ascii="楷体_GB2312" w:eastAsia="楷体_GB2312" w:cs="DengXian-Bold"/>
          <w:b/>
          <w:bCs/>
          <w:sz w:val="32"/>
          <w:szCs w:val="32"/>
          <w:lang w:val="en-US" w:eastAsia="zh-CN"/>
        </w:rPr>
        <w:t>（二）公务用车购置及运行维护费支出4.8万元。</w:t>
      </w:r>
      <w:r>
        <w:rPr>
          <w:rFonts w:hint="eastAsia" w:ascii="仿宋_GB2312" w:hAnsi="Times New Roman" w:eastAsia="仿宋_GB2312" w:cs="DengXian-Regular"/>
          <w:sz w:val="32"/>
          <w:szCs w:val="32"/>
          <w:lang w:val="en-US" w:eastAsia="zh-CN"/>
        </w:rPr>
        <w:t>本部门2018年度公务用车购置及运行维护费较年初预算数无增减变化；</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比2017年度决算增加0.8万元，增长20%，主要是2018年公务用车财政预算标准上调。其中</w:t>
      </w:r>
      <w:r>
        <w:rPr>
          <w:rFonts w:hint="eastAsia" w:ascii="仿宋_GB2312" w:hAnsi="Times New Roman" w:eastAsia="仿宋_GB2312" w:cs="DengXian-Regular"/>
          <w:sz w:val="32"/>
          <w:szCs w:val="32"/>
          <w:lang w:val="en-US" w:eastAsia="zh-CN"/>
        </w:rPr>
        <w:t>：</w:t>
      </w:r>
    </w:p>
    <w:p>
      <w:pPr>
        <w:adjustRightInd w:val="0"/>
        <w:snapToGrid w:val="0"/>
        <w:spacing w:line="584" w:lineRule="exact"/>
        <w:ind w:firstLine="643" w:firstLineChars="200"/>
        <w:rPr>
          <w:rFonts w:eastAsia="仿宋_GB2312"/>
          <w:sz w:val="32"/>
          <w:szCs w:val="32"/>
          <w:highlight w:val="yellow"/>
        </w:rPr>
      </w:pPr>
      <w:r>
        <w:rPr>
          <w:rFonts w:hint="eastAsia" w:ascii="仿宋_GB2312" w:hAnsi="Times New Roman" w:eastAsia="仿宋_GB2312" w:cs="DengXian-Regular"/>
          <w:b/>
          <w:bCs/>
          <w:sz w:val="32"/>
          <w:szCs w:val="32"/>
          <w:lang w:val="en-US" w:eastAsia="zh-CN"/>
        </w:rPr>
        <w:t>公务用车购置费支出0万元。</w:t>
      </w:r>
      <w:r>
        <w:rPr>
          <w:rFonts w:eastAsia="仿宋_GB2312"/>
          <w:sz w:val="32"/>
          <w:szCs w:val="32"/>
        </w:rPr>
        <w:t>本部门201</w:t>
      </w:r>
      <w:r>
        <w:rPr>
          <w:rFonts w:hint="eastAsia" w:eastAsia="仿宋_GB2312"/>
          <w:sz w:val="32"/>
          <w:szCs w:val="32"/>
        </w:rPr>
        <w:t>8</w:t>
      </w:r>
      <w:r>
        <w:rPr>
          <w:rFonts w:eastAsia="仿宋_GB2312"/>
          <w:sz w:val="32"/>
          <w:szCs w:val="32"/>
        </w:rPr>
        <w:t>年度公务用车购置数量</w:t>
      </w:r>
      <w:r>
        <w:rPr>
          <w:rFonts w:hint="eastAsia" w:eastAsia="仿宋_GB2312"/>
          <w:sz w:val="32"/>
          <w:szCs w:val="32"/>
          <w:lang w:val="en-US" w:eastAsia="zh-CN"/>
        </w:rPr>
        <w:t>0</w:t>
      </w:r>
      <w:r>
        <w:rPr>
          <w:rFonts w:eastAsia="仿宋_GB2312"/>
          <w:sz w:val="32"/>
          <w:szCs w:val="32"/>
        </w:rPr>
        <w:t>辆。公务用车购置费支出</w:t>
      </w:r>
      <w:r>
        <w:rPr>
          <w:rFonts w:hint="eastAsia" w:eastAsia="仿宋_GB2312"/>
          <w:sz w:val="32"/>
          <w:szCs w:val="32"/>
        </w:rPr>
        <w:t>比</w:t>
      </w:r>
      <w:r>
        <w:rPr>
          <w:rFonts w:eastAsia="仿宋_GB2312"/>
          <w:sz w:val="32"/>
          <w:szCs w:val="32"/>
        </w:rPr>
        <w:t>年初预算增加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%，主要是</w:t>
      </w:r>
      <w:r>
        <w:rPr>
          <w:rFonts w:hint="eastAsia" w:eastAsia="仿宋_GB2312"/>
          <w:sz w:val="32"/>
          <w:szCs w:val="32"/>
          <w:lang w:eastAsia="zh-CN"/>
        </w:rPr>
        <w:t>本单位当年无公务用车购置费支出</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%，主要是</w:t>
      </w:r>
      <w:r>
        <w:rPr>
          <w:rFonts w:hint="eastAsia" w:eastAsia="仿宋_GB2312"/>
          <w:sz w:val="32"/>
          <w:szCs w:val="32"/>
          <w:lang w:eastAsia="zh-CN"/>
        </w:rPr>
        <w:t>本单位当年无公务用车购置费支出</w:t>
      </w:r>
      <w:r>
        <w:rPr>
          <w:rFonts w:eastAsia="仿宋_GB2312"/>
          <w:sz w:val="32"/>
          <w:szCs w:val="32"/>
        </w:rPr>
        <w:t>。</w:t>
      </w:r>
    </w:p>
    <w:p>
      <w:pPr>
        <w:adjustRightInd w:val="0"/>
        <w:snapToGrid w:val="0"/>
        <w:spacing w:after="0" w:line="580" w:lineRule="exact"/>
        <w:ind w:firstLine="643" w:firstLineChars="200"/>
        <w:rPr>
          <w:rFonts w:hint="eastAsia" w:ascii="仿宋_GB2312" w:hAnsi="Times New Roman" w:eastAsia="仿宋_GB2312" w:cs="DengXian-Regular"/>
          <w:color w:val="000000" w:themeColor="text1"/>
          <w:sz w:val="32"/>
          <w:szCs w:val="32"/>
          <w:lang w:val="en-US" w:eastAsia="zh-CN"/>
          <w14:textFill>
            <w14:solidFill>
              <w14:schemeClr w14:val="tx1"/>
            </w14:solidFill>
          </w14:textFill>
        </w:rPr>
      </w:pPr>
      <w:r>
        <w:rPr>
          <w:rFonts w:hint="eastAsia" w:ascii="仿宋_GB2312" w:hAnsi="Times New Roman" w:eastAsia="仿宋_GB2312" w:cs="DengXian-Regular"/>
          <w:b/>
          <w:bCs/>
          <w:sz w:val="32"/>
          <w:szCs w:val="32"/>
          <w:lang w:val="en-US" w:eastAsia="zh-CN"/>
        </w:rPr>
        <w:t>公务用车运行维护费支出4.8万元。</w:t>
      </w:r>
      <w:r>
        <w:rPr>
          <w:rFonts w:hint="eastAsia" w:ascii="仿宋_GB2312" w:hAnsi="Times New Roman" w:eastAsia="仿宋_GB2312" w:cs="DengXian-Regular"/>
          <w:sz w:val="32"/>
          <w:szCs w:val="32"/>
          <w:lang w:val="en-US" w:eastAsia="zh-CN"/>
        </w:rPr>
        <w:t>本部门2018年末单位公务用车保有量2辆。公车运行维护费支出较年初预算无增减变化</w:t>
      </w: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；比2017年度决算数增加0.8万元，增长20%，主要是2018年公务用车财政预算标准上调。</w:t>
      </w:r>
    </w:p>
    <w:p>
      <w:pPr>
        <w:adjustRightInd w:val="0"/>
        <w:snapToGrid w:val="0"/>
        <w:spacing w:after="0" w:line="580" w:lineRule="exact"/>
        <w:ind w:firstLine="643" w:firstLineChars="200"/>
        <w:rPr>
          <w:rFonts w:hint="default" w:ascii="仿宋_GB2312" w:hAnsi="Times New Roman" w:eastAsia="仿宋_GB2312" w:cs="DengXian-Regular"/>
          <w:sz w:val="32"/>
          <w:szCs w:val="32"/>
          <w:lang w:val="en-US" w:eastAsia="zh-CN"/>
        </w:rPr>
      </w:pPr>
      <w:r>
        <w:rPr>
          <w:rFonts w:hint="eastAsia" w:ascii="楷体_GB2312" w:eastAsia="楷体_GB2312" w:cs="DengXian-Bold"/>
          <w:b/>
          <w:bCs/>
          <w:color w:val="000000" w:themeColor="text1"/>
          <w:sz w:val="32"/>
          <w:szCs w:val="32"/>
          <w:lang w:val="en-US" w:eastAsia="zh-CN"/>
          <w14:textFill>
            <w14:solidFill>
              <w14:schemeClr w14:val="tx1"/>
            </w14:solidFill>
          </w14:textFill>
        </w:rPr>
        <w:t>（三）公务接待费支出0万元</w:t>
      </w:r>
      <w:r>
        <w:rPr>
          <w:rFonts w:hint="eastAsia" w:ascii="楷体_GB2312" w:eastAsia="楷体_GB2312" w:cs="DengXian-Bold"/>
          <w:b/>
          <w:bCs/>
          <w:sz w:val="32"/>
          <w:szCs w:val="32"/>
          <w:lang w:val="en-US" w:eastAsia="zh-CN"/>
        </w:rPr>
        <w:t>。</w:t>
      </w:r>
      <w:r>
        <w:rPr>
          <w:rFonts w:eastAsia="仿宋_GB2312"/>
          <w:sz w:val="32"/>
          <w:szCs w:val="32"/>
        </w:rPr>
        <w:t>本部门201</w:t>
      </w:r>
      <w:r>
        <w:rPr>
          <w:rFonts w:hint="eastAsia" w:eastAsia="仿宋_GB2312"/>
          <w:sz w:val="32"/>
          <w:szCs w:val="32"/>
        </w:rPr>
        <w:t>8</w:t>
      </w:r>
      <w:r>
        <w:rPr>
          <w:rFonts w:eastAsia="仿宋_GB2312"/>
          <w:sz w:val="32"/>
          <w:szCs w:val="32"/>
        </w:rPr>
        <w:t>年度公务接待共</w:t>
      </w:r>
      <w:r>
        <w:rPr>
          <w:rFonts w:hint="eastAsia" w:eastAsia="仿宋_GB2312"/>
          <w:sz w:val="32"/>
          <w:szCs w:val="32"/>
          <w:lang w:val="en-US" w:eastAsia="zh-CN"/>
        </w:rPr>
        <w:t>0</w:t>
      </w:r>
      <w:r>
        <w:rPr>
          <w:rFonts w:eastAsia="仿宋_GB2312"/>
          <w:sz w:val="32"/>
          <w:szCs w:val="32"/>
        </w:rPr>
        <w:t>批次、</w:t>
      </w:r>
      <w:r>
        <w:rPr>
          <w:rFonts w:hint="eastAsia" w:eastAsia="仿宋_GB2312"/>
          <w:sz w:val="32"/>
          <w:szCs w:val="32"/>
          <w:lang w:val="en-US" w:eastAsia="zh-CN"/>
        </w:rPr>
        <w:t>0</w:t>
      </w:r>
      <w:r>
        <w:rPr>
          <w:rFonts w:eastAsia="仿宋_GB2312"/>
          <w:sz w:val="32"/>
          <w:szCs w:val="32"/>
        </w:rPr>
        <w:t>人次。公务接待费支出</w:t>
      </w:r>
      <w:r>
        <w:rPr>
          <w:rFonts w:hint="eastAsia" w:eastAsia="仿宋_GB2312"/>
          <w:sz w:val="32"/>
          <w:szCs w:val="32"/>
        </w:rPr>
        <w:t>比</w:t>
      </w:r>
      <w:r>
        <w:rPr>
          <w:rFonts w:eastAsia="仿宋_GB2312"/>
          <w:sz w:val="32"/>
          <w:szCs w:val="32"/>
        </w:rPr>
        <w:t>年初预算增加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%，主要是</w:t>
      </w:r>
      <w:r>
        <w:rPr>
          <w:rFonts w:hint="eastAsia" w:eastAsia="仿宋_GB2312"/>
          <w:sz w:val="32"/>
          <w:szCs w:val="32"/>
          <w:lang w:eastAsia="zh-CN"/>
        </w:rPr>
        <w:t>本单位当年无公务接待费支出</w:t>
      </w:r>
      <w:r>
        <w:rPr>
          <w:rFonts w:eastAsia="仿宋_GB2312"/>
          <w:sz w:val="32"/>
          <w:szCs w:val="32"/>
        </w:rPr>
        <w:t>；</w:t>
      </w:r>
      <w:r>
        <w:rPr>
          <w:rFonts w:hint="eastAsia" w:eastAsia="仿宋_GB2312"/>
          <w:sz w:val="32"/>
          <w:szCs w:val="32"/>
        </w:rPr>
        <w:t>比</w:t>
      </w:r>
      <w:r>
        <w:rPr>
          <w:rFonts w:eastAsia="仿宋_GB2312"/>
          <w:sz w:val="32"/>
          <w:szCs w:val="32"/>
        </w:rPr>
        <w:t>201</w:t>
      </w:r>
      <w:r>
        <w:rPr>
          <w:rFonts w:hint="eastAsia" w:eastAsia="仿宋_GB2312"/>
          <w:sz w:val="32"/>
          <w:szCs w:val="32"/>
        </w:rPr>
        <w:t>7</w:t>
      </w:r>
      <w:r>
        <w:rPr>
          <w:rFonts w:eastAsia="仿宋_GB2312"/>
          <w:sz w:val="32"/>
          <w:szCs w:val="32"/>
        </w:rPr>
        <w:t>年度决算增加</w:t>
      </w:r>
      <w:r>
        <w:rPr>
          <w:rFonts w:hint="eastAsia" w:eastAsia="仿宋_GB2312"/>
          <w:sz w:val="32"/>
          <w:szCs w:val="32"/>
          <w:lang w:val="en-US" w:eastAsia="zh-CN"/>
        </w:rPr>
        <w:t>0</w:t>
      </w:r>
      <w:r>
        <w:rPr>
          <w:rFonts w:eastAsia="仿宋_GB2312"/>
          <w:sz w:val="32"/>
          <w:szCs w:val="32"/>
        </w:rPr>
        <w:t>万元，增长</w:t>
      </w:r>
      <w:r>
        <w:rPr>
          <w:rFonts w:hint="eastAsia" w:eastAsia="仿宋_GB2312"/>
          <w:sz w:val="32"/>
          <w:szCs w:val="32"/>
          <w:lang w:val="en-US" w:eastAsia="zh-CN"/>
        </w:rPr>
        <w:t>0</w:t>
      </w:r>
      <w:r>
        <w:rPr>
          <w:rFonts w:eastAsia="仿宋_GB2312"/>
          <w:sz w:val="32"/>
          <w:szCs w:val="32"/>
        </w:rPr>
        <w:t>%，主要是</w:t>
      </w:r>
      <w:r>
        <w:rPr>
          <w:rFonts w:hint="eastAsia" w:eastAsia="仿宋_GB2312"/>
          <w:sz w:val="32"/>
          <w:szCs w:val="32"/>
          <w:lang w:eastAsia="zh-CN"/>
        </w:rPr>
        <w:t>本单位当年无公务接待费支出</w:t>
      </w:r>
      <w:r>
        <w:rPr>
          <w:rFonts w:eastAsia="仿宋_GB2312"/>
          <w:sz w:val="32"/>
          <w:szCs w:val="32"/>
        </w:rPr>
        <w:t>。</w:t>
      </w:r>
    </w:p>
    <w:p>
      <w:pPr>
        <w:snapToGrid w:val="0"/>
        <w:spacing w:line="584" w:lineRule="exact"/>
        <w:ind w:firstLine="640" w:firstLineChars="200"/>
        <w:rPr>
          <w:rFonts w:hint="eastAsia" w:ascii="黑体" w:eastAsia="黑体" w:hAnsiTheme="majorHAnsi" w:cstheme="majorBidi"/>
          <w:b w:val="0"/>
          <w:bCs w:val="0"/>
          <w:kern w:val="2"/>
          <w:sz w:val="32"/>
          <w:szCs w:val="32"/>
          <w:lang w:val="en-US" w:eastAsia="zh-CN" w:bidi="ar-SA"/>
        </w:rPr>
      </w:pPr>
      <w:r>
        <w:rPr>
          <w:rFonts w:hint="eastAsia" w:ascii="黑体" w:eastAsia="黑体" w:hAnsiTheme="majorHAnsi" w:cstheme="majorBidi"/>
          <w:b w:val="0"/>
          <w:bCs w:val="0"/>
          <w:kern w:val="2"/>
          <w:sz w:val="32"/>
          <w:szCs w:val="32"/>
          <w:lang w:val="en-US" w:eastAsia="zh-CN" w:bidi="ar-SA"/>
        </w:rPr>
        <w:t>六、预算绩效情况说明</w:t>
      </w:r>
    </w:p>
    <w:p>
      <w:pPr>
        <w:adjustRightInd w:val="0"/>
        <w:snapToGrid w:val="0"/>
        <w:spacing w:line="584" w:lineRule="exact"/>
        <w:ind w:firstLine="640"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val="en-US" w:eastAsia="zh-CN"/>
        </w:rPr>
        <w:t>（一）预算绩效管理工作开展情况</w:t>
      </w:r>
    </w:p>
    <w:p>
      <w:pPr>
        <w:widowControl/>
        <w:spacing w:line="540" w:lineRule="atLeast"/>
        <w:ind w:firstLine="790" w:firstLineChars="246"/>
        <w:jc w:val="left"/>
        <w:rPr>
          <w:rFonts w:ascii="仿宋_GB2312" w:hAnsi="楷体" w:eastAsia="仿宋_GB2312" w:cs="宋体"/>
          <w:b/>
          <w:bCs/>
          <w:kern w:val="0"/>
          <w:sz w:val="32"/>
          <w:szCs w:val="32"/>
        </w:rPr>
      </w:pPr>
      <w:r>
        <w:rPr>
          <w:rFonts w:hint="eastAsia" w:ascii="仿宋_GB2312" w:hAnsi="楷体" w:eastAsia="仿宋_GB2312" w:cs="宋体"/>
          <w:b/>
          <w:bCs/>
          <w:kern w:val="0"/>
          <w:sz w:val="32"/>
          <w:szCs w:val="32"/>
        </w:rPr>
        <w:t>总体绩效目标：</w:t>
      </w:r>
    </w:p>
    <w:p>
      <w:pPr>
        <w:adjustRightInd w:val="0"/>
        <w:snapToGrid w:val="0"/>
        <w:spacing w:line="584" w:lineRule="exact"/>
        <w:ind w:firstLine="640"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val="en-US" w:eastAsia="zh-CN"/>
        </w:rPr>
        <w:t>一、人大和社会监督方面。监督宪法和法律在我镇行政区域内正确实施，监督本级预算按照人代会通过的预算有效实施。在人大代表听取财务报告后发表意见的基础上，作出街道经济社会发展计划、总预算和本级预算等决议。</w:t>
      </w:r>
    </w:p>
    <w:p>
      <w:pPr>
        <w:adjustRightInd w:val="0"/>
        <w:snapToGrid w:val="0"/>
        <w:spacing w:line="584" w:lineRule="exact"/>
        <w:ind w:firstLine="640"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val="en-US" w:eastAsia="zh-CN"/>
        </w:rPr>
        <w:t>二、政府工作运转方面。保障机关公文正常运转保持线路畅通，服务对象满意。完善城乡社会救助制度，实施分类救助，应保尽保,动态管理。</w:t>
      </w:r>
    </w:p>
    <w:p>
      <w:pPr>
        <w:adjustRightInd w:val="0"/>
        <w:snapToGrid w:val="0"/>
        <w:spacing w:line="584" w:lineRule="exact"/>
        <w:ind w:firstLine="640"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val="en-US" w:eastAsia="zh-CN"/>
        </w:rPr>
        <w:t>三、民政和社会服务方面。解决优抚对象的生活、医疗困难，推行阳光安置，保障退役士兵合法权益；按时足额发放各类经济补助。</w:t>
      </w:r>
    </w:p>
    <w:p>
      <w:pPr>
        <w:adjustRightInd w:val="0"/>
        <w:snapToGrid w:val="0"/>
        <w:spacing w:line="584" w:lineRule="exact"/>
        <w:ind w:firstLine="640"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val="en-US" w:eastAsia="zh-CN"/>
        </w:rPr>
        <w:t>四、群众文化方面。文化发展环境健康向上，文化发展能力不断增强，文化艺术资源丰富，公共文化服务和文化艺术生产水平不断提高，促进文化影响力日益扩大。</w:t>
      </w:r>
    </w:p>
    <w:p>
      <w:pPr>
        <w:adjustRightInd w:val="0"/>
        <w:snapToGrid w:val="0"/>
        <w:spacing w:line="584" w:lineRule="exact"/>
        <w:ind w:firstLine="640"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val="en-US" w:eastAsia="zh-CN"/>
        </w:rPr>
        <w:t>五、医疗卫生和计划生育服务方面。稳定适度的低生育水平，有效保障计划生育家庭生活水平，提高妇女生殖健康水平，降低出生缺陷的发生，有效遏制出生人口性别比偏高问题。</w:t>
      </w:r>
    </w:p>
    <w:p>
      <w:pPr>
        <w:adjustRightInd w:val="0"/>
        <w:snapToGrid w:val="0"/>
        <w:spacing w:line="584" w:lineRule="exact"/>
        <w:ind w:firstLine="640"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val="en-US" w:eastAsia="zh-CN"/>
        </w:rPr>
        <w:t>七、社会团体方面。围绕青年思想动态和青年工作现状，不断加强青少年社会主义核心价值观教育，加强青年统战工作，围绕党政中心工作开展各项活动。把广大妇女紧密团结在党中央周围，围绕中央、镇政府中心工作。</w:t>
      </w:r>
    </w:p>
    <w:p>
      <w:pPr>
        <w:adjustRightInd w:val="0"/>
        <w:snapToGrid w:val="0"/>
        <w:spacing w:line="584" w:lineRule="exact"/>
        <w:ind w:firstLine="640"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val="en-US" w:eastAsia="zh-CN"/>
        </w:rPr>
        <w:t>八、财经管理方面。加强对专项资金的监管，提高财政资金使用效率。</w:t>
      </w:r>
    </w:p>
    <w:p>
      <w:pPr>
        <w:adjustRightInd w:val="0"/>
        <w:snapToGrid w:val="0"/>
        <w:spacing w:line="584" w:lineRule="exact"/>
        <w:ind w:firstLine="640" w:firstLineChars="200"/>
        <w:rPr>
          <w:rFonts w:hint="eastAsia" w:ascii="仿宋_GB2312" w:hAnsi="Times New Roman" w:eastAsia="仿宋_GB2312" w:cs="DengXian-Regular"/>
          <w:sz w:val="32"/>
          <w:szCs w:val="32"/>
          <w:lang w:val="en-US" w:eastAsia="zh-CN"/>
        </w:rPr>
      </w:pPr>
      <w:r>
        <w:rPr>
          <w:rFonts w:hint="eastAsia" w:ascii="仿宋_GB2312" w:hAnsi="Times New Roman" w:eastAsia="仿宋_GB2312" w:cs="DengXian-Regular"/>
          <w:sz w:val="32"/>
          <w:szCs w:val="32"/>
          <w:lang w:val="en-US" w:eastAsia="zh-CN"/>
        </w:rPr>
        <w:t>九、社会服务和劳动保障方面。负责辖区内各类社会保险经办服务工作和社会保险信息采集及档案管理工作；做好对享受社会保险待遇人员的日常资格认证工作。</w:t>
      </w:r>
    </w:p>
    <w:p>
      <w:pPr>
        <w:adjustRightInd w:val="0"/>
        <w:snapToGrid w:val="0"/>
        <w:spacing w:line="584" w:lineRule="exact"/>
        <w:ind w:firstLine="640" w:firstLineChars="200"/>
        <w:rPr>
          <w:rFonts w:hint="eastAsia" w:ascii="仿宋_GB2312" w:hAnsi="Times New Roman" w:eastAsia="仿宋_GB2312" w:cs="DengXian-Regular"/>
          <w:color w:val="000000" w:themeColor="text1"/>
          <w:sz w:val="32"/>
          <w:szCs w:val="32"/>
          <w:lang w:val="en-US" w:eastAsia="zh-CN"/>
          <w14:textFill>
            <w14:solidFill>
              <w14:schemeClr w14:val="tx1"/>
            </w14:solidFill>
          </w14:textFill>
        </w:rPr>
      </w:pP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（二）项目绩效自评结果。（详见附表）</w:t>
      </w:r>
    </w:p>
    <w:p>
      <w:pPr>
        <w:adjustRightInd w:val="0"/>
        <w:snapToGrid w:val="0"/>
        <w:spacing w:line="584" w:lineRule="exact"/>
        <w:ind w:firstLine="640" w:firstLineChars="200"/>
        <w:rPr>
          <w:rFonts w:hint="eastAsia" w:ascii="仿宋_GB2312" w:hAnsi="Times New Roman" w:eastAsia="仿宋_GB2312" w:cs="DengXian-Regular"/>
          <w:color w:val="000000" w:themeColor="text1"/>
          <w:sz w:val="32"/>
          <w:szCs w:val="32"/>
          <w:lang w:val="en-US" w:eastAsia="zh-CN"/>
          <w14:textFill>
            <w14:solidFill>
              <w14:schemeClr w14:val="tx1"/>
            </w14:solidFill>
          </w14:textFill>
        </w:rPr>
      </w:pPr>
      <w:r>
        <w:rPr>
          <w:rFonts w:hint="eastAsia" w:ascii="仿宋_GB2312" w:hAnsi="Times New Roman" w:eastAsia="仿宋_GB2312" w:cs="DengXian-Regular"/>
          <w:color w:val="000000" w:themeColor="text1"/>
          <w:sz w:val="32"/>
          <w:szCs w:val="32"/>
          <w:lang w:val="en-US" w:eastAsia="zh-CN"/>
          <w14:textFill>
            <w14:solidFill>
              <w14:schemeClr w14:val="tx1"/>
            </w14:solidFill>
          </w14:textFill>
        </w:rPr>
        <w:t>（三）重点项目绩效评价结果（详见附表）</w:t>
      </w:r>
    </w:p>
    <w:p>
      <w:pPr>
        <w:pStyle w:val="7"/>
        <w:widowControl/>
        <w:shd w:val="clear" w:color="auto" w:fill="FFFFFF"/>
        <w:spacing w:before="0" w:beforeAutospacing="0" w:after="0" w:afterAutospacing="0" w:line="405" w:lineRule="atLeast"/>
        <w:jc w:val="center"/>
        <w:rPr>
          <w:rFonts w:hint="eastAsia" w:ascii="仿宋_GB2312" w:hAnsi="宋体" w:cs="仿宋_GB2312"/>
          <w:b/>
          <w:color w:val="333333"/>
          <w:sz w:val="32"/>
          <w:szCs w:val="32"/>
          <w:shd w:val="clear" w:color="auto" w:fill="FFFFFF"/>
        </w:rPr>
      </w:pPr>
      <w:r>
        <w:rPr>
          <w:rFonts w:hint="eastAsia" w:ascii="仿宋_GB2312" w:hAnsi="宋体" w:cs="仿宋_GB2312"/>
          <w:b/>
          <w:color w:val="333333"/>
          <w:sz w:val="32"/>
          <w:szCs w:val="32"/>
          <w:shd w:val="clear" w:color="auto" w:fill="FFFFFF"/>
        </w:rPr>
        <w:t>部门职责-工作活动绩效目标</w:t>
      </w:r>
    </w:p>
    <w:p>
      <w:pPr>
        <w:pStyle w:val="7"/>
        <w:widowControl/>
        <w:shd w:val="clear" w:color="auto" w:fill="FFFFFF"/>
        <w:spacing w:before="0" w:beforeAutospacing="0" w:after="0" w:afterAutospacing="0" w:line="405" w:lineRule="atLeast"/>
        <w:rPr>
          <w:rFonts w:hint="eastAsia"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文安县城区街道办事处                                                                                                  单位：万元</w:t>
      </w:r>
    </w:p>
    <w:tbl>
      <w:tblPr>
        <w:tblStyle w:val="8"/>
        <w:tblW w:w="94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1405"/>
        <w:gridCol w:w="2520"/>
        <w:gridCol w:w="694"/>
        <w:gridCol w:w="1037"/>
        <w:gridCol w:w="819"/>
        <w:gridCol w:w="1074"/>
        <w:gridCol w:w="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80" w:type="dxa"/>
            <w:vMerge w:val="restart"/>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职责活动</w:t>
            </w:r>
          </w:p>
        </w:tc>
        <w:tc>
          <w:tcPr>
            <w:tcW w:w="1405" w:type="dxa"/>
            <w:vMerge w:val="restart"/>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内容描述</w:t>
            </w:r>
          </w:p>
        </w:tc>
        <w:tc>
          <w:tcPr>
            <w:tcW w:w="2520" w:type="dxa"/>
            <w:vMerge w:val="restart"/>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绩效目标</w:t>
            </w:r>
          </w:p>
        </w:tc>
        <w:tc>
          <w:tcPr>
            <w:tcW w:w="694" w:type="dxa"/>
            <w:vMerge w:val="restart"/>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绩效指标</w:t>
            </w:r>
          </w:p>
        </w:tc>
        <w:tc>
          <w:tcPr>
            <w:tcW w:w="3788" w:type="dxa"/>
            <w:gridSpan w:val="4"/>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评价标准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1080" w:type="dxa"/>
            <w:vMerge w:val="continue"/>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Cs w:val="24"/>
                <w:shd w:val="clear" w:color="auto" w:fill="FFFFFF"/>
              </w:rPr>
            </w:pPr>
          </w:p>
        </w:tc>
        <w:tc>
          <w:tcPr>
            <w:tcW w:w="1405" w:type="dxa"/>
            <w:vMerge w:val="continue"/>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Cs w:val="24"/>
                <w:shd w:val="clear" w:color="auto" w:fill="FFFFFF"/>
              </w:rPr>
            </w:pPr>
          </w:p>
        </w:tc>
        <w:tc>
          <w:tcPr>
            <w:tcW w:w="2520" w:type="dxa"/>
            <w:vMerge w:val="continue"/>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Cs w:val="24"/>
                <w:shd w:val="clear" w:color="auto" w:fill="FFFFFF"/>
              </w:rPr>
            </w:pPr>
          </w:p>
        </w:tc>
        <w:tc>
          <w:tcPr>
            <w:tcW w:w="694" w:type="dxa"/>
            <w:vMerge w:val="continue"/>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Cs w:val="24"/>
                <w:shd w:val="clear" w:color="auto" w:fill="FFFFFF"/>
              </w:rPr>
            </w:pPr>
          </w:p>
        </w:tc>
        <w:tc>
          <w:tcPr>
            <w:tcW w:w="1037"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优</w:t>
            </w:r>
          </w:p>
        </w:tc>
        <w:tc>
          <w:tcPr>
            <w:tcW w:w="819"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良</w:t>
            </w:r>
          </w:p>
        </w:tc>
        <w:tc>
          <w:tcPr>
            <w:tcW w:w="1074"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中</w:t>
            </w:r>
          </w:p>
        </w:tc>
        <w:tc>
          <w:tcPr>
            <w:tcW w:w="858"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center"/>
          </w:tcPr>
          <w:p>
            <w:pPr>
              <w:pStyle w:val="7"/>
              <w:widowControl/>
              <w:spacing w:before="0" w:beforeAutospacing="0" w:after="0" w:afterAutospacing="0" w:line="405" w:lineRule="atLeast"/>
              <w:jc w:val="center"/>
              <w:rPr>
                <w:rFonts w:hint="eastAsia"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城区社区党建工作</w:t>
            </w:r>
          </w:p>
        </w:tc>
        <w:tc>
          <w:tcPr>
            <w:tcW w:w="1405" w:type="dxa"/>
            <w:noWrap w:val="0"/>
            <w:vAlign w:val="center"/>
          </w:tcPr>
          <w:p>
            <w:pPr>
              <w:pStyle w:val="7"/>
              <w:widowControl/>
              <w:spacing w:before="0" w:beforeAutospacing="0" w:after="0" w:afterAutospacing="0" w:line="405" w:lineRule="atLeast"/>
              <w:jc w:val="center"/>
              <w:rPr>
                <w:rFonts w:hint="eastAsia" w:ascii="方正仿宋简体" w:hAnsi="Arial" w:eastAsia="方正仿宋简体" w:cs="仿宋_GB2312"/>
                <w:color w:val="333333"/>
                <w:sz w:val="21"/>
                <w:szCs w:val="21"/>
                <w:shd w:val="clear" w:color="auto" w:fill="FFFFFF"/>
              </w:rPr>
            </w:pPr>
            <w:r>
              <w:rPr>
                <w:rFonts w:hint="eastAsia" w:ascii="方正书宋_GBK" w:eastAsia="方正书宋_GBK"/>
              </w:rPr>
              <w:t>建立健全街道及各社区党组织建设</w:t>
            </w:r>
          </w:p>
        </w:tc>
        <w:tc>
          <w:tcPr>
            <w:tcW w:w="2520" w:type="dxa"/>
            <w:noWrap w:val="0"/>
            <w:vAlign w:val="center"/>
          </w:tcPr>
          <w:p>
            <w:pPr>
              <w:pStyle w:val="7"/>
              <w:widowControl/>
              <w:spacing w:before="0" w:beforeAutospacing="0" w:after="0" w:afterAutospacing="0" w:line="405" w:lineRule="atLeast"/>
              <w:jc w:val="center"/>
              <w:rPr>
                <w:rFonts w:hint="eastAsia"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以街道党委为核心、社区党支部为基础，社区全体党员为主体，以发展壮大党员队伍、推进社区建设、服务居民为目标，基层各类党组织共同参与城区社区党组织建设</w:t>
            </w:r>
          </w:p>
        </w:tc>
        <w:tc>
          <w:tcPr>
            <w:tcW w:w="694" w:type="dxa"/>
            <w:noWrap w:val="0"/>
            <w:vAlign w:val="center"/>
          </w:tcPr>
          <w:p>
            <w:pPr>
              <w:pStyle w:val="7"/>
              <w:widowControl/>
              <w:spacing w:before="0" w:beforeAutospacing="0" w:after="0" w:afterAutospacing="0" w:line="405" w:lineRule="atLeast"/>
              <w:jc w:val="center"/>
              <w:rPr>
                <w:rFonts w:hint="eastAsia"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效果指数</w:t>
            </w:r>
          </w:p>
        </w:tc>
        <w:tc>
          <w:tcPr>
            <w:tcW w:w="1037" w:type="dxa"/>
            <w:noWrap w:val="0"/>
            <w:vAlign w:val="center"/>
          </w:tcPr>
          <w:p>
            <w:pPr>
              <w:pStyle w:val="7"/>
              <w:widowControl/>
              <w:spacing w:before="0" w:beforeAutospacing="0" w:after="0" w:afterAutospacing="0" w:line="405" w:lineRule="atLeast"/>
              <w:jc w:val="center"/>
              <w:rPr>
                <w:rFonts w:hint="eastAsia"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819" w:type="dxa"/>
            <w:noWrap w:val="0"/>
            <w:vAlign w:val="center"/>
          </w:tcPr>
          <w:p>
            <w:pPr>
              <w:pStyle w:val="7"/>
              <w:widowControl/>
              <w:spacing w:before="0" w:beforeAutospacing="0" w:after="0" w:afterAutospacing="0" w:line="405" w:lineRule="atLeast"/>
              <w:jc w:val="center"/>
              <w:rPr>
                <w:rFonts w:hint="eastAsia" w:ascii="方正仿宋简体" w:hAnsi="Arial" w:eastAsia="方正仿宋简体" w:cs="仿宋_GB2312"/>
                <w:color w:val="333333"/>
                <w:sz w:val="21"/>
                <w:szCs w:val="21"/>
                <w:shd w:val="clear" w:color="auto" w:fill="FFFFFF"/>
              </w:rPr>
            </w:pPr>
          </w:p>
        </w:tc>
        <w:tc>
          <w:tcPr>
            <w:tcW w:w="1074"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 w:val="21"/>
                <w:szCs w:val="21"/>
                <w:shd w:val="clear" w:color="auto" w:fill="FFFFFF"/>
              </w:rPr>
            </w:pPr>
          </w:p>
        </w:tc>
        <w:tc>
          <w:tcPr>
            <w:tcW w:w="858"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center"/>
          </w:tcPr>
          <w:p>
            <w:pPr>
              <w:pStyle w:val="7"/>
              <w:widowControl/>
              <w:spacing w:before="0" w:beforeAutospacing="0" w:after="0" w:afterAutospacing="0" w:line="405" w:lineRule="atLeast"/>
              <w:jc w:val="center"/>
              <w:rPr>
                <w:rFonts w:hint="eastAsia"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街道党委党建工作及社区党建工作</w:t>
            </w:r>
          </w:p>
        </w:tc>
        <w:tc>
          <w:tcPr>
            <w:tcW w:w="1405"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一是，入党申请的受理、入党积极分子培养等工作；二是，发展预备党员政审相关材料的开具与预备党员的教育、管理与培养工作；三是党组织关系转接手续的办理等。四是，六个社区分别成立网格化管理服务体系；五是，六个社区党支部分别建起便民服务中心等。</w:t>
            </w:r>
          </w:p>
        </w:tc>
        <w:tc>
          <w:tcPr>
            <w:tcW w:w="2520"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为城区党员队伍不断发展壮大及相关工作顺利进行提供有力保障，以及运用现代信息技术和社会管理手段，全面提升社区服务管理的效率和水平。</w:t>
            </w:r>
          </w:p>
        </w:tc>
        <w:tc>
          <w:tcPr>
            <w:tcW w:w="694" w:type="dxa"/>
            <w:noWrap w:val="0"/>
            <w:vAlign w:val="center"/>
          </w:tcPr>
          <w:p>
            <w:pPr>
              <w:pStyle w:val="7"/>
              <w:widowControl/>
              <w:spacing w:before="0" w:beforeAutospacing="0" w:after="0" w:afterAutospacing="0" w:line="405" w:lineRule="atLeast"/>
              <w:jc w:val="center"/>
              <w:rPr>
                <w:rFonts w:hint="eastAsia"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效果指数</w:t>
            </w:r>
          </w:p>
        </w:tc>
        <w:tc>
          <w:tcPr>
            <w:tcW w:w="1037" w:type="dxa"/>
            <w:noWrap w:val="0"/>
            <w:vAlign w:val="center"/>
          </w:tcPr>
          <w:p>
            <w:pPr>
              <w:pStyle w:val="7"/>
              <w:widowControl/>
              <w:spacing w:before="0" w:beforeAutospacing="0" w:after="0" w:afterAutospacing="0" w:line="405" w:lineRule="atLeast"/>
              <w:jc w:val="center"/>
              <w:rPr>
                <w:rFonts w:hint="eastAsia"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w:t>
            </w:r>
          </w:p>
        </w:tc>
        <w:tc>
          <w:tcPr>
            <w:tcW w:w="819" w:type="dxa"/>
            <w:noWrap w:val="0"/>
            <w:vAlign w:val="center"/>
          </w:tcPr>
          <w:p>
            <w:pPr>
              <w:pStyle w:val="7"/>
              <w:widowControl/>
              <w:spacing w:before="0" w:beforeAutospacing="0" w:after="0" w:afterAutospacing="0" w:line="405" w:lineRule="atLeast"/>
              <w:jc w:val="center"/>
              <w:rPr>
                <w:rFonts w:hint="eastAsia" w:ascii="方正仿宋简体" w:hAnsi="Arial" w:eastAsia="方正仿宋简体" w:cs="仿宋_GB2312"/>
                <w:color w:val="333333"/>
                <w:sz w:val="21"/>
                <w:szCs w:val="21"/>
                <w:shd w:val="clear" w:color="auto" w:fill="FFFFFF"/>
              </w:rPr>
            </w:pPr>
          </w:p>
        </w:tc>
        <w:tc>
          <w:tcPr>
            <w:tcW w:w="1074"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 w:val="21"/>
                <w:szCs w:val="21"/>
                <w:shd w:val="clear" w:color="auto" w:fill="FFFFFF"/>
              </w:rPr>
            </w:pPr>
          </w:p>
        </w:tc>
        <w:tc>
          <w:tcPr>
            <w:tcW w:w="858"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center"/>
          </w:tcPr>
          <w:p>
            <w:pPr>
              <w:pStyle w:val="7"/>
              <w:widowControl/>
              <w:spacing w:before="0" w:beforeAutospacing="0" w:after="0" w:afterAutospacing="0" w:line="405" w:lineRule="atLeast"/>
              <w:jc w:val="center"/>
              <w:rPr>
                <w:rFonts w:hint="eastAsia"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民政救助工作</w:t>
            </w:r>
          </w:p>
        </w:tc>
        <w:tc>
          <w:tcPr>
            <w:tcW w:w="1405" w:type="dxa"/>
            <w:noWrap w:val="0"/>
            <w:vAlign w:val="center"/>
          </w:tcPr>
          <w:p>
            <w:pPr>
              <w:pStyle w:val="7"/>
              <w:widowControl/>
              <w:spacing w:before="0" w:beforeAutospacing="0" w:after="0" w:afterAutospacing="0" w:line="405" w:lineRule="atLeast"/>
              <w:jc w:val="center"/>
              <w:rPr>
                <w:rFonts w:hint="eastAsia"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救助弱势群体或个人</w:t>
            </w:r>
          </w:p>
        </w:tc>
        <w:tc>
          <w:tcPr>
            <w:tcW w:w="2520" w:type="dxa"/>
            <w:noWrap w:val="0"/>
            <w:vAlign w:val="center"/>
          </w:tcPr>
          <w:p>
            <w:pPr>
              <w:pStyle w:val="7"/>
              <w:widowControl/>
              <w:spacing w:before="0" w:beforeAutospacing="0" w:after="0" w:afterAutospacing="0" w:line="405" w:lineRule="atLeast"/>
              <w:jc w:val="center"/>
              <w:rPr>
                <w:rFonts w:hint="eastAsia"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以服务居民为宗旨，以协助或联合相关单位的形式，使贫困的弱势群体或个人得到一定程度地救助。</w:t>
            </w:r>
          </w:p>
        </w:tc>
        <w:tc>
          <w:tcPr>
            <w:tcW w:w="694" w:type="dxa"/>
            <w:noWrap w:val="0"/>
            <w:vAlign w:val="center"/>
          </w:tcPr>
          <w:p>
            <w:pPr>
              <w:pStyle w:val="7"/>
              <w:widowControl/>
              <w:spacing w:before="0" w:beforeAutospacing="0" w:after="0" w:afterAutospacing="0" w:line="405" w:lineRule="atLeast"/>
              <w:jc w:val="center"/>
              <w:rPr>
                <w:rFonts w:hint="eastAsia"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效果指数</w:t>
            </w:r>
          </w:p>
        </w:tc>
        <w:tc>
          <w:tcPr>
            <w:tcW w:w="1037" w:type="dxa"/>
            <w:noWrap w:val="0"/>
            <w:vAlign w:val="center"/>
          </w:tcPr>
          <w:p>
            <w:pPr>
              <w:pStyle w:val="7"/>
              <w:widowControl/>
              <w:spacing w:before="0" w:beforeAutospacing="0" w:after="0" w:afterAutospacing="0" w:line="405" w:lineRule="atLeast"/>
              <w:jc w:val="center"/>
              <w:rPr>
                <w:rFonts w:hint="eastAsia"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Cs w:val="21"/>
                <w:shd w:val="clear" w:color="auto" w:fill="FFFFFF"/>
              </w:rPr>
              <w:t>√</w:t>
            </w:r>
          </w:p>
        </w:tc>
        <w:tc>
          <w:tcPr>
            <w:tcW w:w="819" w:type="dxa"/>
            <w:noWrap w:val="0"/>
            <w:vAlign w:val="center"/>
          </w:tcPr>
          <w:p>
            <w:pPr>
              <w:pStyle w:val="7"/>
              <w:widowControl/>
              <w:spacing w:before="0" w:beforeAutospacing="0" w:after="0" w:afterAutospacing="0" w:line="405" w:lineRule="atLeast"/>
              <w:jc w:val="center"/>
              <w:rPr>
                <w:rFonts w:hint="eastAsia" w:ascii="方正仿宋简体" w:hAnsi="Arial" w:eastAsia="方正仿宋简体" w:cs="仿宋_GB2312"/>
                <w:color w:val="333333"/>
                <w:sz w:val="21"/>
                <w:szCs w:val="21"/>
                <w:shd w:val="clear" w:color="auto" w:fill="FFFFFF"/>
              </w:rPr>
            </w:pPr>
          </w:p>
        </w:tc>
        <w:tc>
          <w:tcPr>
            <w:tcW w:w="1074"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 w:val="21"/>
                <w:szCs w:val="21"/>
                <w:shd w:val="clear" w:color="auto" w:fill="FFFFFF"/>
              </w:rPr>
            </w:pPr>
          </w:p>
        </w:tc>
        <w:tc>
          <w:tcPr>
            <w:tcW w:w="858"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center"/>
          </w:tcPr>
          <w:p>
            <w:pPr>
              <w:pStyle w:val="7"/>
              <w:widowControl/>
              <w:spacing w:before="0" w:beforeAutospacing="0" w:after="0" w:afterAutospacing="0" w:line="405" w:lineRule="atLeast"/>
              <w:jc w:val="center"/>
              <w:rPr>
                <w:rFonts w:hint="eastAsia"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为有关工作出具相关证明或手续；有关民政救助工作的申请与审核</w:t>
            </w:r>
          </w:p>
        </w:tc>
        <w:tc>
          <w:tcPr>
            <w:tcW w:w="1405" w:type="dxa"/>
            <w:noWrap w:val="0"/>
            <w:vAlign w:val="center"/>
          </w:tcPr>
          <w:p>
            <w:pPr>
              <w:pStyle w:val="7"/>
              <w:widowControl/>
              <w:spacing w:before="0" w:beforeAutospacing="0" w:after="0" w:afterAutospacing="0" w:line="405" w:lineRule="atLeast"/>
              <w:jc w:val="center"/>
              <w:rPr>
                <w:rFonts w:hint="eastAsia"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一是，为河北省老年人优待证的办理出具相关证明；二是出具家庭困难证明；三是，出具助学减免学费有关手续；四是，优抚待遇、优抚对象的申报；五是，城镇居民最低生活保障的申请与审核；六是，</w:t>
            </w:r>
            <w:r>
              <w:rPr>
                <w:rFonts w:hint="cs" w:ascii="方正仿宋简体" w:hAnsi="Arial" w:eastAsia="方正仿宋简体" w:cs="仿宋_GB2312"/>
                <w:color w:val="333333"/>
                <w:sz w:val="21"/>
                <w:szCs w:val="21"/>
                <w:shd w:val="clear" w:color="auto" w:fill="FFFFFF"/>
                <w:cs/>
              </w:rPr>
              <w:t>“</w:t>
            </w:r>
            <w:r>
              <w:rPr>
                <w:rFonts w:hint="eastAsia" w:ascii="方正仿宋简体" w:hAnsi="Arial" w:eastAsia="方正仿宋简体" w:cs="仿宋_GB2312"/>
                <w:color w:val="333333"/>
                <w:sz w:val="21"/>
                <w:szCs w:val="21"/>
                <w:shd w:val="clear" w:color="auto" w:fill="FFFFFF"/>
              </w:rPr>
              <w:t>五保户</w:t>
            </w:r>
            <w:r>
              <w:rPr>
                <w:rFonts w:hint="cs" w:ascii="方正仿宋简体" w:hAnsi="Arial" w:eastAsia="方正仿宋简体" w:cs="仿宋_GB2312"/>
                <w:color w:val="333333"/>
                <w:sz w:val="21"/>
                <w:szCs w:val="21"/>
                <w:shd w:val="clear" w:color="auto" w:fill="FFFFFF"/>
                <w:cs/>
              </w:rPr>
              <w:t>”</w:t>
            </w:r>
            <w:r>
              <w:rPr>
                <w:rFonts w:hint="eastAsia" w:ascii="方正仿宋简体" w:hAnsi="Arial" w:eastAsia="方正仿宋简体" w:cs="仿宋_GB2312"/>
                <w:color w:val="333333"/>
                <w:sz w:val="21"/>
                <w:szCs w:val="21"/>
                <w:shd w:val="clear" w:color="auto" w:fill="FFFFFF"/>
              </w:rPr>
              <w:t>的申请与审核；七是，医疗救助的申请与申报；八是，救灾救济的申请与申报。</w:t>
            </w:r>
          </w:p>
        </w:tc>
        <w:tc>
          <w:tcPr>
            <w:tcW w:w="2520" w:type="dxa"/>
            <w:noWrap w:val="0"/>
            <w:vAlign w:val="center"/>
          </w:tcPr>
          <w:p>
            <w:pPr>
              <w:pStyle w:val="7"/>
              <w:widowControl/>
              <w:spacing w:before="0" w:beforeAutospacing="0" w:after="0" w:afterAutospacing="0" w:line="405" w:lineRule="atLeast"/>
              <w:jc w:val="center"/>
              <w:rPr>
                <w:rFonts w:hint="eastAsia"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为相关民政工作严把</w:t>
            </w:r>
            <w:r>
              <w:rPr>
                <w:rFonts w:hint="cs" w:ascii="方正仿宋简体" w:hAnsi="Arial" w:eastAsia="方正仿宋简体" w:cs="仿宋_GB2312"/>
                <w:color w:val="333333"/>
                <w:sz w:val="21"/>
                <w:szCs w:val="21"/>
                <w:shd w:val="clear" w:color="auto" w:fill="FFFFFF"/>
                <w:cs/>
              </w:rPr>
              <w:t>“</w:t>
            </w:r>
            <w:r>
              <w:rPr>
                <w:rFonts w:hint="eastAsia" w:ascii="方正仿宋简体" w:hAnsi="Arial" w:eastAsia="方正仿宋简体" w:cs="仿宋_GB2312"/>
                <w:color w:val="333333"/>
                <w:sz w:val="21"/>
                <w:szCs w:val="21"/>
                <w:shd w:val="clear" w:color="auto" w:fill="FFFFFF"/>
              </w:rPr>
              <w:t>第一关</w:t>
            </w:r>
            <w:r>
              <w:rPr>
                <w:rFonts w:hint="cs" w:ascii="方正仿宋简体" w:hAnsi="Arial" w:eastAsia="方正仿宋简体" w:cs="仿宋_GB2312"/>
                <w:color w:val="333333"/>
                <w:sz w:val="21"/>
                <w:szCs w:val="21"/>
                <w:shd w:val="clear" w:color="auto" w:fill="FFFFFF"/>
                <w:cs/>
              </w:rPr>
              <w:t>”</w:t>
            </w:r>
            <w:r>
              <w:rPr>
                <w:rFonts w:hint="eastAsia" w:ascii="方正仿宋简体" w:hAnsi="Arial" w:eastAsia="方正仿宋简体" w:cs="仿宋_GB2312"/>
                <w:color w:val="333333"/>
                <w:sz w:val="21"/>
                <w:szCs w:val="21"/>
                <w:shd w:val="clear" w:color="auto" w:fill="FFFFFF"/>
              </w:rPr>
              <w:t>，确保相关证明真实有效，让被救助者的相关权益得到有力保障。以服务居民为宗旨，以公平公正为原则，确保相关民政救助工作顺利开展。</w:t>
            </w:r>
          </w:p>
        </w:tc>
        <w:tc>
          <w:tcPr>
            <w:tcW w:w="694" w:type="dxa"/>
            <w:noWrap w:val="0"/>
            <w:vAlign w:val="center"/>
          </w:tcPr>
          <w:p>
            <w:pPr>
              <w:pStyle w:val="7"/>
              <w:widowControl/>
              <w:spacing w:before="0" w:beforeAutospacing="0" w:after="0" w:afterAutospacing="0" w:line="405" w:lineRule="atLeast"/>
              <w:jc w:val="center"/>
              <w:rPr>
                <w:rFonts w:hint="eastAsia"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效果指数</w:t>
            </w:r>
          </w:p>
        </w:tc>
        <w:tc>
          <w:tcPr>
            <w:tcW w:w="1037" w:type="dxa"/>
            <w:noWrap w:val="0"/>
            <w:vAlign w:val="center"/>
          </w:tcPr>
          <w:p>
            <w:pPr>
              <w:pStyle w:val="7"/>
              <w:widowControl/>
              <w:spacing w:before="0" w:beforeAutospacing="0" w:after="0" w:afterAutospacing="0" w:line="405" w:lineRule="atLeast"/>
              <w:jc w:val="center"/>
              <w:rPr>
                <w:rFonts w:hint="eastAsia"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Cs w:val="21"/>
                <w:shd w:val="clear" w:color="auto" w:fill="FFFFFF"/>
              </w:rPr>
              <w:t>√</w:t>
            </w:r>
          </w:p>
        </w:tc>
        <w:tc>
          <w:tcPr>
            <w:tcW w:w="819" w:type="dxa"/>
            <w:noWrap w:val="0"/>
            <w:vAlign w:val="center"/>
          </w:tcPr>
          <w:p>
            <w:pPr>
              <w:pStyle w:val="7"/>
              <w:widowControl/>
              <w:spacing w:before="0" w:beforeAutospacing="0" w:after="0" w:afterAutospacing="0" w:line="405" w:lineRule="atLeast"/>
              <w:jc w:val="center"/>
              <w:rPr>
                <w:rFonts w:hint="eastAsia" w:ascii="方正仿宋简体" w:hAnsi="Arial" w:eastAsia="方正仿宋简体" w:cs="仿宋_GB2312"/>
                <w:color w:val="333333"/>
                <w:sz w:val="21"/>
                <w:szCs w:val="21"/>
                <w:shd w:val="clear" w:color="auto" w:fill="FFFFFF"/>
              </w:rPr>
            </w:pPr>
          </w:p>
        </w:tc>
        <w:tc>
          <w:tcPr>
            <w:tcW w:w="1074"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 w:val="21"/>
                <w:szCs w:val="21"/>
                <w:shd w:val="clear" w:color="auto" w:fill="FFFFFF"/>
              </w:rPr>
            </w:pPr>
          </w:p>
        </w:tc>
        <w:tc>
          <w:tcPr>
            <w:tcW w:w="858"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center"/>
          </w:tcPr>
          <w:p>
            <w:pPr>
              <w:pStyle w:val="7"/>
              <w:widowControl/>
              <w:spacing w:before="0" w:beforeAutospacing="0" w:after="0" w:afterAutospacing="0" w:line="405" w:lineRule="atLeast"/>
              <w:jc w:val="center"/>
              <w:rPr>
                <w:rFonts w:hint="eastAsia"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劳动保障工作</w:t>
            </w:r>
          </w:p>
        </w:tc>
        <w:tc>
          <w:tcPr>
            <w:tcW w:w="1405" w:type="dxa"/>
            <w:noWrap w:val="0"/>
            <w:vAlign w:val="center"/>
          </w:tcPr>
          <w:p>
            <w:pPr>
              <w:pStyle w:val="7"/>
              <w:widowControl/>
              <w:spacing w:before="0" w:beforeAutospacing="0" w:after="0" w:afterAutospacing="0" w:line="405" w:lineRule="atLeast"/>
              <w:jc w:val="center"/>
              <w:rPr>
                <w:rFonts w:hint="eastAsia"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为社区居民提供相关劳动保障</w:t>
            </w:r>
          </w:p>
        </w:tc>
        <w:tc>
          <w:tcPr>
            <w:tcW w:w="2520" w:type="dxa"/>
            <w:noWrap w:val="0"/>
            <w:vAlign w:val="center"/>
          </w:tcPr>
          <w:p>
            <w:pPr>
              <w:pStyle w:val="7"/>
              <w:widowControl/>
              <w:spacing w:before="0" w:beforeAutospacing="0" w:after="0" w:afterAutospacing="0" w:line="405" w:lineRule="atLeast"/>
              <w:jc w:val="center"/>
              <w:rPr>
                <w:rFonts w:hint="eastAsia"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为推进社区居民再就业及城区内全面实行劳动保障社会化管理提供一个良好的平台。</w:t>
            </w:r>
          </w:p>
        </w:tc>
        <w:tc>
          <w:tcPr>
            <w:tcW w:w="694" w:type="dxa"/>
            <w:noWrap w:val="0"/>
            <w:vAlign w:val="center"/>
          </w:tcPr>
          <w:p>
            <w:pPr>
              <w:pStyle w:val="7"/>
              <w:widowControl/>
              <w:spacing w:before="0" w:beforeAutospacing="0" w:after="0" w:afterAutospacing="0" w:line="405" w:lineRule="atLeast"/>
              <w:jc w:val="center"/>
              <w:rPr>
                <w:rFonts w:hint="eastAsia"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效果指数</w:t>
            </w:r>
          </w:p>
        </w:tc>
        <w:tc>
          <w:tcPr>
            <w:tcW w:w="1037" w:type="dxa"/>
            <w:noWrap w:val="0"/>
            <w:vAlign w:val="center"/>
          </w:tcPr>
          <w:p>
            <w:pPr>
              <w:pStyle w:val="7"/>
              <w:widowControl/>
              <w:spacing w:before="0" w:beforeAutospacing="0" w:after="0" w:afterAutospacing="0" w:line="405" w:lineRule="atLeast"/>
              <w:jc w:val="center"/>
              <w:rPr>
                <w:rFonts w:hint="eastAsia"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Cs w:val="21"/>
                <w:shd w:val="clear" w:color="auto" w:fill="FFFFFF"/>
              </w:rPr>
              <w:t>√</w:t>
            </w:r>
          </w:p>
        </w:tc>
        <w:tc>
          <w:tcPr>
            <w:tcW w:w="819" w:type="dxa"/>
            <w:noWrap w:val="0"/>
            <w:vAlign w:val="center"/>
          </w:tcPr>
          <w:p>
            <w:pPr>
              <w:pStyle w:val="7"/>
              <w:widowControl/>
              <w:spacing w:before="0" w:beforeAutospacing="0" w:after="0" w:afterAutospacing="0" w:line="405" w:lineRule="atLeast"/>
              <w:jc w:val="center"/>
              <w:rPr>
                <w:rFonts w:hint="eastAsia" w:ascii="方正仿宋简体" w:hAnsi="Arial" w:eastAsia="方正仿宋简体" w:cs="仿宋_GB2312"/>
                <w:color w:val="333333"/>
                <w:sz w:val="21"/>
                <w:szCs w:val="21"/>
                <w:shd w:val="clear" w:color="auto" w:fill="FFFFFF"/>
              </w:rPr>
            </w:pPr>
          </w:p>
        </w:tc>
        <w:tc>
          <w:tcPr>
            <w:tcW w:w="1074"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 w:val="21"/>
                <w:szCs w:val="21"/>
                <w:shd w:val="clear" w:color="auto" w:fill="FFFFFF"/>
              </w:rPr>
            </w:pPr>
          </w:p>
        </w:tc>
        <w:tc>
          <w:tcPr>
            <w:tcW w:w="858"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center"/>
          </w:tcPr>
          <w:p>
            <w:pPr>
              <w:pStyle w:val="7"/>
              <w:widowControl/>
              <w:spacing w:before="0" w:beforeAutospacing="0" w:after="0" w:afterAutospacing="0" w:line="405" w:lineRule="atLeast"/>
              <w:jc w:val="center"/>
              <w:rPr>
                <w:rFonts w:hint="eastAsia" w:ascii="方正书宋_GBK" w:eastAsia="方正书宋_GBK"/>
                <w:b/>
              </w:rPr>
            </w:pPr>
            <w:r>
              <w:rPr>
                <w:rFonts w:hint="eastAsia" w:ascii="方正仿宋简体" w:hAnsi="Arial" w:eastAsia="方正仿宋简体" w:cs="仿宋_GB2312"/>
                <w:color w:val="333333"/>
                <w:sz w:val="21"/>
                <w:szCs w:val="21"/>
                <w:shd w:val="clear" w:color="auto" w:fill="FFFFFF"/>
              </w:rPr>
              <w:t>社区居民养老保险相关工作的受理</w:t>
            </w:r>
          </w:p>
        </w:tc>
        <w:tc>
          <w:tcPr>
            <w:tcW w:w="1405" w:type="dxa"/>
            <w:noWrap w:val="0"/>
            <w:vAlign w:val="center"/>
          </w:tcPr>
          <w:p>
            <w:pPr>
              <w:spacing w:line="300" w:lineRule="exact"/>
              <w:jc w:val="left"/>
              <w:rPr>
                <w:rFonts w:hint="eastAsia" w:ascii="方正书宋_GBK" w:eastAsia="方正书宋_GBK"/>
              </w:rPr>
            </w:pPr>
            <w:r>
              <w:rPr>
                <w:rFonts w:hint="eastAsia" w:ascii="方正书宋_GBK" w:eastAsia="方正书宋_GBK"/>
              </w:rPr>
              <w:t>一是，社区居民社会养老保险参保人员参保资格、基本信息、缴费信息、保费收缴登记、审核上报；二是，社区居民社会养老保险资格认证；三是，为符合条件的社区居民养老保险参保人员办理待遇申请、领取审核及上报；四是，社区居民养老保险关系转移；五是，社区居民养老保险参保人员信息统计、数据变更及调查上报。</w:t>
            </w:r>
          </w:p>
        </w:tc>
        <w:tc>
          <w:tcPr>
            <w:tcW w:w="2520" w:type="dxa"/>
            <w:noWrap w:val="0"/>
            <w:vAlign w:val="center"/>
          </w:tcPr>
          <w:p>
            <w:pPr>
              <w:spacing w:line="300" w:lineRule="exact"/>
              <w:jc w:val="left"/>
              <w:rPr>
                <w:rFonts w:hint="eastAsia" w:ascii="方正书宋_GBK" w:eastAsia="方正书宋_GBK"/>
              </w:rPr>
            </w:pPr>
            <w:r>
              <w:rPr>
                <w:rFonts w:hint="eastAsia" w:ascii="方正书宋_GBK" w:eastAsia="方正书宋_GBK"/>
              </w:rPr>
              <w:t>以负责任的态度，为社区居民办理好社会养老保险相关手续，并且做到及时准确地向有关部门做好相关工作的汇报与反馈。</w:t>
            </w:r>
          </w:p>
        </w:tc>
        <w:tc>
          <w:tcPr>
            <w:tcW w:w="694" w:type="dxa"/>
            <w:noWrap w:val="0"/>
            <w:vAlign w:val="center"/>
          </w:tcPr>
          <w:p>
            <w:pPr>
              <w:spacing w:line="300" w:lineRule="exact"/>
              <w:jc w:val="center"/>
              <w:rPr>
                <w:rFonts w:hint="eastAsia" w:ascii="方正仿宋简体" w:hAnsi="Arial" w:eastAsia="方正仿宋简体" w:cs="仿宋_GB2312"/>
                <w:color w:val="333333"/>
                <w:szCs w:val="21"/>
                <w:shd w:val="clear" w:color="auto" w:fill="FFFFFF"/>
              </w:rPr>
            </w:pPr>
            <w:r>
              <w:rPr>
                <w:rFonts w:hint="eastAsia" w:ascii="方正书宋_GBK" w:eastAsia="方正书宋_GBK"/>
              </w:rPr>
              <w:t>效果指数</w:t>
            </w:r>
          </w:p>
        </w:tc>
        <w:tc>
          <w:tcPr>
            <w:tcW w:w="1037" w:type="dxa"/>
            <w:noWrap w:val="0"/>
            <w:vAlign w:val="center"/>
          </w:tcPr>
          <w:p>
            <w:pPr>
              <w:pStyle w:val="7"/>
              <w:widowControl/>
              <w:spacing w:before="0" w:beforeAutospacing="0" w:after="0" w:afterAutospacing="0" w:line="405" w:lineRule="atLeast"/>
              <w:jc w:val="center"/>
              <w:rPr>
                <w:rFonts w:hint="eastAsia"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Cs w:val="21"/>
                <w:shd w:val="clear" w:color="auto" w:fill="FFFFFF"/>
              </w:rPr>
              <w:t>√</w:t>
            </w:r>
          </w:p>
        </w:tc>
        <w:tc>
          <w:tcPr>
            <w:tcW w:w="819" w:type="dxa"/>
            <w:noWrap w:val="0"/>
            <w:vAlign w:val="center"/>
          </w:tcPr>
          <w:p>
            <w:pPr>
              <w:pStyle w:val="7"/>
              <w:widowControl/>
              <w:spacing w:before="0" w:beforeAutospacing="0" w:after="0" w:afterAutospacing="0" w:line="405" w:lineRule="atLeast"/>
              <w:jc w:val="center"/>
              <w:rPr>
                <w:rFonts w:hint="eastAsia" w:ascii="方正仿宋简体" w:hAnsi="Arial" w:eastAsia="方正仿宋简体" w:cs="仿宋_GB2312"/>
                <w:color w:val="333333"/>
                <w:sz w:val="21"/>
                <w:szCs w:val="21"/>
                <w:shd w:val="clear" w:color="auto" w:fill="FFFFFF"/>
              </w:rPr>
            </w:pPr>
          </w:p>
        </w:tc>
        <w:tc>
          <w:tcPr>
            <w:tcW w:w="1074"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 w:val="21"/>
                <w:szCs w:val="21"/>
                <w:shd w:val="clear" w:color="auto" w:fill="FFFFFF"/>
              </w:rPr>
            </w:pPr>
          </w:p>
        </w:tc>
        <w:tc>
          <w:tcPr>
            <w:tcW w:w="858"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center"/>
          </w:tcPr>
          <w:p>
            <w:pPr>
              <w:spacing w:line="300" w:lineRule="exact"/>
              <w:jc w:val="left"/>
              <w:rPr>
                <w:rFonts w:hint="eastAsia" w:ascii="方正书宋_GBK" w:eastAsia="方正书宋_GBK"/>
                <w:b/>
              </w:rPr>
            </w:pPr>
            <w:r>
              <w:rPr>
                <w:rFonts w:hint="eastAsia" w:ascii="方正书宋_GBK" w:eastAsia="方正书宋_GBK"/>
                <w:b/>
              </w:rPr>
              <w:t>　　</w:t>
            </w:r>
            <w:r>
              <w:rPr>
                <w:rFonts w:hint="eastAsia" w:ascii="方正仿宋简体" w:hAnsi="Arial" w:eastAsia="方正仿宋简体" w:cs="仿宋_GB2312"/>
                <w:color w:val="333333"/>
                <w:kern w:val="0"/>
                <w:szCs w:val="21"/>
                <w:shd w:val="clear" w:color="auto" w:fill="FFFFFF"/>
              </w:rPr>
              <w:t>社区居民就业失业相关工作的受理</w:t>
            </w:r>
          </w:p>
        </w:tc>
        <w:tc>
          <w:tcPr>
            <w:tcW w:w="1405" w:type="dxa"/>
            <w:noWrap w:val="0"/>
            <w:vAlign w:val="center"/>
          </w:tcPr>
          <w:p>
            <w:pPr>
              <w:spacing w:line="300" w:lineRule="exact"/>
              <w:jc w:val="left"/>
              <w:rPr>
                <w:rFonts w:hint="eastAsia" w:ascii="方正书宋_GBK" w:eastAsia="方正书宋_GBK"/>
              </w:rPr>
            </w:pPr>
            <w:r>
              <w:rPr>
                <w:rFonts w:hint="eastAsia" w:ascii="方正书宋_GBK" w:eastAsia="方正书宋_GBK"/>
              </w:rPr>
              <w:t>一是，高校未就业毕业生实名登记和就业服务及高校毕业生申领失业补助金；二是，河北省《就业失业登记证》办理；三是就业信息发布；四是，职业介绍；五是，培训登记；六是，求职登记；七是，就业困难人员认定初审、灵活就业社保补贴初审及小额担保贷款初审。</w:t>
            </w:r>
          </w:p>
        </w:tc>
        <w:tc>
          <w:tcPr>
            <w:tcW w:w="2520" w:type="dxa"/>
            <w:noWrap w:val="0"/>
            <w:vAlign w:val="center"/>
          </w:tcPr>
          <w:p>
            <w:pPr>
              <w:spacing w:line="300" w:lineRule="exact"/>
              <w:jc w:val="left"/>
              <w:rPr>
                <w:rFonts w:hint="eastAsia" w:ascii="方正书宋_GBK" w:eastAsia="方正书宋_GBK"/>
              </w:rPr>
            </w:pPr>
            <w:r>
              <w:rPr>
                <w:rFonts w:hint="eastAsia" w:ascii="方正书宋_GBK" w:eastAsia="方正书宋_GBK"/>
              </w:rPr>
              <w:t>有效保障高校毕业生相关权益及促进社区居民再就业。</w:t>
            </w:r>
          </w:p>
        </w:tc>
        <w:tc>
          <w:tcPr>
            <w:tcW w:w="694" w:type="dxa"/>
            <w:noWrap w:val="0"/>
            <w:vAlign w:val="center"/>
          </w:tcPr>
          <w:p>
            <w:pPr>
              <w:spacing w:line="300" w:lineRule="exact"/>
              <w:jc w:val="center"/>
              <w:rPr>
                <w:rFonts w:hint="eastAsia" w:ascii="方正书宋_GBK" w:eastAsia="方正书宋_GBK"/>
              </w:rPr>
            </w:pPr>
            <w:r>
              <w:rPr>
                <w:rFonts w:hint="eastAsia" w:ascii="方正书宋_GBK" w:eastAsia="方正书宋_GBK"/>
              </w:rPr>
              <w:t>效果指数</w:t>
            </w:r>
          </w:p>
        </w:tc>
        <w:tc>
          <w:tcPr>
            <w:tcW w:w="1037" w:type="dxa"/>
            <w:noWrap w:val="0"/>
            <w:vAlign w:val="center"/>
          </w:tcPr>
          <w:p>
            <w:pPr>
              <w:pStyle w:val="7"/>
              <w:widowControl/>
              <w:spacing w:before="0" w:beforeAutospacing="0" w:after="0" w:afterAutospacing="0" w:line="405" w:lineRule="atLeast"/>
              <w:jc w:val="center"/>
              <w:rPr>
                <w:rFonts w:hint="eastAsia"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Cs w:val="21"/>
                <w:shd w:val="clear" w:color="auto" w:fill="FFFFFF"/>
              </w:rPr>
              <w:t>√</w:t>
            </w:r>
          </w:p>
        </w:tc>
        <w:tc>
          <w:tcPr>
            <w:tcW w:w="819" w:type="dxa"/>
            <w:noWrap w:val="0"/>
            <w:vAlign w:val="center"/>
          </w:tcPr>
          <w:p>
            <w:pPr>
              <w:pStyle w:val="7"/>
              <w:widowControl/>
              <w:spacing w:before="0" w:beforeAutospacing="0" w:after="0" w:afterAutospacing="0" w:line="405" w:lineRule="atLeast"/>
              <w:jc w:val="center"/>
              <w:rPr>
                <w:rFonts w:hint="eastAsia" w:ascii="方正仿宋简体" w:hAnsi="Arial" w:eastAsia="方正仿宋简体" w:cs="仿宋_GB2312"/>
                <w:color w:val="333333"/>
                <w:sz w:val="21"/>
                <w:szCs w:val="21"/>
                <w:shd w:val="clear" w:color="auto" w:fill="FFFFFF"/>
              </w:rPr>
            </w:pPr>
          </w:p>
        </w:tc>
        <w:tc>
          <w:tcPr>
            <w:tcW w:w="1074"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 w:val="21"/>
                <w:szCs w:val="21"/>
                <w:shd w:val="clear" w:color="auto" w:fill="FFFFFF"/>
              </w:rPr>
            </w:pPr>
          </w:p>
        </w:tc>
        <w:tc>
          <w:tcPr>
            <w:tcW w:w="858"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 w:val="21"/>
                <w:szCs w:val="21"/>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center"/>
          </w:tcPr>
          <w:p>
            <w:pPr>
              <w:spacing w:line="300" w:lineRule="exact"/>
              <w:jc w:val="left"/>
              <w:rPr>
                <w:rFonts w:hint="eastAsia" w:ascii="方正仿宋简体" w:hAnsi="Arial" w:eastAsia="方正仿宋简体" w:cs="仿宋_GB2312"/>
                <w:color w:val="333333"/>
                <w:szCs w:val="21"/>
                <w:shd w:val="clear" w:color="auto" w:fill="FFFFFF"/>
              </w:rPr>
            </w:pPr>
            <w:r>
              <w:rPr>
                <w:rFonts w:hint="eastAsia" w:ascii="方正仿宋简体" w:hAnsi="Arial" w:eastAsia="方正仿宋简体" w:cs="仿宋_GB2312"/>
                <w:color w:val="333333"/>
                <w:kern w:val="0"/>
                <w:szCs w:val="21"/>
                <w:shd w:val="clear" w:color="auto" w:fill="FFFFFF"/>
              </w:rPr>
              <w:t>计划生育工作</w:t>
            </w:r>
          </w:p>
        </w:tc>
        <w:tc>
          <w:tcPr>
            <w:tcW w:w="1405" w:type="dxa"/>
            <w:noWrap w:val="0"/>
            <w:vAlign w:val="center"/>
          </w:tcPr>
          <w:p>
            <w:pPr>
              <w:spacing w:line="300" w:lineRule="exact"/>
              <w:jc w:val="left"/>
              <w:rPr>
                <w:rFonts w:hint="eastAsia" w:ascii="方正仿宋简体" w:hAnsi="Arial" w:eastAsia="方正仿宋简体" w:cs="仿宋_GB2312"/>
                <w:color w:val="333333"/>
                <w:szCs w:val="21"/>
                <w:shd w:val="clear" w:color="auto" w:fill="FFFFFF"/>
              </w:rPr>
            </w:pPr>
            <w:r>
              <w:rPr>
                <w:rFonts w:hint="eastAsia" w:ascii="方正书宋_GBK" w:eastAsia="方正书宋_GBK"/>
              </w:rPr>
              <w:t>做好计生工作的宣传与落实</w:t>
            </w:r>
          </w:p>
        </w:tc>
        <w:tc>
          <w:tcPr>
            <w:tcW w:w="2520" w:type="dxa"/>
            <w:noWrap w:val="0"/>
            <w:vAlign w:val="center"/>
          </w:tcPr>
          <w:p>
            <w:pPr>
              <w:spacing w:line="300" w:lineRule="exact"/>
              <w:jc w:val="left"/>
              <w:rPr>
                <w:rFonts w:hint="eastAsia" w:ascii="方正仿宋简体" w:hAnsi="Arial" w:eastAsia="方正仿宋简体" w:cs="仿宋_GB2312"/>
                <w:color w:val="333333"/>
                <w:szCs w:val="21"/>
                <w:shd w:val="clear" w:color="auto" w:fill="FFFFFF"/>
              </w:rPr>
            </w:pPr>
            <w:r>
              <w:rPr>
                <w:rFonts w:hint="eastAsia" w:ascii="方正书宋_GBK" w:eastAsia="方正书宋_GBK"/>
              </w:rPr>
              <w:t>积极组织和参加有关计生工作的各项活动，认真履行计生工作的程序和职责，有效促进人口和计划生育工作与社会的协调发展。</w:t>
            </w:r>
          </w:p>
        </w:tc>
        <w:tc>
          <w:tcPr>
            <w:tcW w:w="694" w:type="dxa"/>
            <w:noWrap w:val="0"/>
            <w:vAlign w:val="center"/>
          </w:tcPr>
          <w:p>
            <w:pPr>
              <w:pStyle w:val="7"/>
              <w:widowControl/>
              <w:spacing w:before="0" w:beforeAutospacing="0" w:after="0" w:afterAutospacing="0" w:line="405" w:lineRule="atLeast"/>
              <w:jc w:val="center"/>
              <w:rPr>
                <w:rFonts w:hint="eastAsia"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效果指数</w:t>
            </w:r>
          </w:p>
        </w:tc>
        <w:tc>
          <w:tcPr>
            <w:tcW w:w="1037" w:type="dxa"/>
            <w:noWrap w:val="0"/>
            <w:vAlign w:val="center"/>
          </w:tcPr>
          <w:p>
            <w:pPr>
              <w:jc w:val="center"/>
              <w:rPr>
                <w:rFonts w:hint="eastAsia" w:ascii="方正仿宋简体" w:hAnsi="Arial" w:eastAsia="方正仿宋简体" w:cs="仿宋_GB2312"/>
                <w:color w:val="333333"/>
                <w:szCs w:val="21"/>
                <w:shd w:val="clear" w:color="auto" w:fill="FFFFFF"/>
              </w:rPr>
            </w:pPr>
            <w:r>
              <w:rPr>
                <w:rFonts w:hint="eastAsia" w:ascii="方正仿宋简体" w:hAnsi="Arial" w:eastAsia="方正仿宋简体" w:cs="仿宋_GB2312"/>
                <w:color w:val="333333"/>
                <w:szCs w:val="21"/>
                <w:shd w:val="clear" w:color="auto" w:fill="FFFFFF"/>
              </w:rPr>
              <w:t>√</w:t>
            </w:r>
          </w:p>
        </w:tc>
        <w:tc>
          <w:tcPr>
            <w:tcW w:w="819"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Cs w:val="24"/>
                <w:shd w:val="clear" w:color="auto" w:fill="FFFFFF"/>
              </w:rPr>
            </w:pPr>
          </w:p>
        </w:tc>
        <w:tc>
          <w:tcPr>
            <w:tcW w:w="1074"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Cs w:val="24"/>
                <w:shd w:val="clear" w:color="auto" w:fill="FFFFFF"/>
              </w:rPr>
            </w:pPr>
          </w:p>
        </w:tc>
        <w:tc>
          <w:tcPr>
            <w:tcW w:w="858"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center"/>
          </w:tcPr>
          <w:p>
            <w:pPr>
              <w:pStyle w:val="7"/>
              <w:widowControl/>
              <w:spacing w:before="0" w:beforeAutospacing="0" w:after="0" w:afterAutospacing="0" w:line="405" w:lineRule="atLeast"/>
              <w:jc w:val="center"/>
              <w:rPr>
                <w:rFonts w:hint="eastAsia"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　计生相关工作的受理</w:t>
            </w:r>
          </w:p>
        </w:tc>
        <w:tc>
          <w:tcPr>
            <w:tcW w:w="1405" w:type="dxa"/>
            <w:noWrap w:val="0"/>
            <w:vAlign w:val="center"/>
          </w:tcPr>
          <w:p>
            <w:pPr>
              <w:pStyle w:val="7"/>
              <w:widowControl/>
              <w:spacing w:before="0" w:beforeAutospacing="0" w:after="0" w:afterAutospacing="0" w:line="405" w:lineRule="atLeast"/>
              <w:jc w:val="center"/>
              <w:rPr>
                <w:rFonts w:hint="eastAsia"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一是，计划生育法规、政策、知识的宣传、咨询和服务；二是，办理社区育龄妇女一胎生育指标和符合政策规定生育第二胎指标审核、上报工作；三是，社区城镇无业居民和流动人口的计划生育管理与服务工作；四是，受理计划生育来信来访，协助上级主管部门查处违法计划生育政策的违法案件，依法行使行政处罚权，等。</w:t>
            </w:r>
          </w:p>
        </w:tc>
        <w:tc>
          <w:tcPr>
            <w:tcW w:w="2520" w:type="dxa"/>
            <w:noWrap w:val="0"/>
            <w:vAlign w:val="center"/>
          </w:tcPr>
          <w:p>
            <w:pPr>
              <w:pStyle w:val="7"/>
              <w:widowControl/>
              <w:spacing w:before="0" w:beforeAutospacing="0" w:after="0" w:afterAutospacing="0" w:line="405" w:lineRule="atLeast"/>
              <w:jc w:val="center"/>
              <w:rPr>
                <w:rFonts w:hint="eastAsia"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以加强实有人口的管理与服务为中心，以创建幸福家庭、改善民生为目标，有效促进人口和计划生育工作与社会的协调发展。</w:t>
            </w:r>
          </w:p>
        </w:tc>
        <w:tc>
          <w:tcPr>
            <w:tcW w:w="694" w:type="dxa"/>
            <w:noWrap w:val="0"/>
            <w:vAlign w:val="center"/>
          </w:tcPr>
          <w:p>
            <w:pPr>
              <w:pStyle w:val="7"/>
              <w:widowControl/>
              <w:spacing w:before="0" w:beforeAutospacing="0" w:after="0" w:afterAutospacing="0" w:line="405" w:lineRule="atLeast"/>
              <w:jc w:val="center"/>
              <w:rPr>
                <w:rFonts w:hint="eastAsia"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效果指数</w:t>
            </w:r>
          </w:p>
        </w:tc>
        <w:tc>
          <w:tcPr>
            <w:tcW w:w="1037" w:type="dxa"/>
            <w:noWrap w:val="0"/>
            <w:vAlign w:val="center"/>
          </w:tcPr>
          <w:p>
            <w:pPr>
              <w:jc w:val="center"/>
            </w:pPr>
            <w:r>
              <w:rPr>
                <w:rFonts w:hint="eastAsia" w:ascii="方正仿宋简体" w:hAnsi="Arial" w:eastAsia="方正仿宋简体" w:cs="仿宋_GB2312"/>
                <w:color w:val="333333"/>
                <w:szCs w:val="21"/>
                <w:shd w:val="clear" w:color="auto" w:fill="FFFFFF"/>
              </w:rPr>
              <w:t>√</w:t>
            </w:r>
          </w:p>
        </w:tc>
        <w:tc>
          <w:tcPr>
            <w:tcW w:w="819"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Cs w:val="24"/>
                <w:shd w:val="clear" w:color="auto" w:fill="FFFFFF"/>
              </w:rPr>
            </w:pPr>
          </w:p>
        </w:tc>
        <w:tc>
          <w:tcPr>
            <w:tcW w:w="1074"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Cs w:val="24"/>
                <w:shd w:val="clear" w:color="auto" w:fill="FFFFFF"/>
              </w:rPr>
            </w:pPr>
          </w:p>
        </w:tc>
        <w:tc>
          <w:tcPr>
            <w:tcW w:w="858"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center"/>
          </w:tcPr>
          <w:p>
            <w:pPr>
              <w:spacing w:line="300" w:lineRule="exact"/>
              <w:jc w:val="left"/>
              <w:rPr>
                <w:rFonts w:hint="eastAsia" w:ascii="方正仿宋简体" w:hAnsi="Arial" w:eastAsia="方正仿宋简体" w:cs="仿宋_GB2312"/>
                <w:color w:val="333333"/>
                <w:kern w:val="0"/>
                <w:szCs w:val="21"/>
                <w:shd w:val="clear" w:color="auto" w:fill="FFFFFF"/>
              </w:rPr>
            </w:pPr>
            <w:r>
              <w:rPr>
                <w:rFonts w:hint="eastAsia" w:ascii="方正仿宋简体" w:hAnsi="Arial" w:eastAsia="方正仿宋简体" w:cs="仿宋_GB2312"/>
                <w:color w:val="333333"/>
                <w:kern w:val="0"/>
                <w:szCs w:val="21"/>
                <w:shd w:val="clear" w:color="auto" w:fill="FFFFFF"/>
              </w:rPr>
              <w:t>司法民调工作</w:t>
            </w:r>
          </w:p>
        </w:tc>
        <w:tc>
          <w:tcPr>
            <w:tcW w:w="1405" w:type="dxa"/>
            <w:noWrap w:val="0"/>
            <w:vAlign w:val="center"/>
          </w:tcPr>
          <w:p>
            <w:pPr>
              <w:spacing w:line="300" w:lineRule="exact"/>
              <w:jc w:val="left"/>
              <w:rPr>
                <w:rFonts w:hint="eastAsia" w:ascii="方正仿宋简体" w:hAnsi="Arial" w:eastAsia="方正仿宋简体" w:cs="仿宋_GB2312"/>
                <w:color w:val="333333"/>
                <w:kern w:val="0"/>
                <w:szCs w:val="21"/>
                <w:shd w:val="clear" w:color="auto" w:fill="FFFFFF"/>
              </w:rPr>
            </w:pPr>
            <w:r>
              <w:rPr>
                <w:rFonts w:hint="eastAsia" w:ascii="方正仿宋简体" w:hAnsi="Arial" w:eastAsia="方正仿宋简体" w:cs="仿宋_GB2312"/>
                <w:color w:val="333333"/>
                <w:kern w:val="0"/>
                <w:szCs w:val="21"/>
                <w:shd w:val="clear" w:color="auto" w:fill="FFFFFF"/>
              </w:rPr>
              <w:t>进一步细化并做好司法民调相关工作</w:t>
            </w:r>
          </w:p>
        </w:tc>
        <w:tc>
          <w:tcPr>
            <w:tcW w:w="2520" w:type="dxa"/>
            <w:noWrap w:val="0"/>
            <w:vAlign w:val="center"/>
          </w:tcPr>
          <w:p>
            <w:pPr>
              <w:spacing w:line="300" w:lineRule="exact"/>
              <w:jc w:val="left"/>
              <w:rPr>
                <w:rFonts w:hint="eastAsia" w:ascii="方正仿宋简体" w:hAnsi="Arial" w:eastAsia="方正仿宋简体" w:cs="仿宋_GB2312"/>
                <w:color w:val="333333"/>
                <w:kern w:val="0"/>
                <w:szCs w:val="21"/>
                <w:shd w:val="clear" w:color="auto" w:fill="FFFFFF"/>
              </w:rPr>
            </w:pPr>
            <w:r>
              <w:rPr>
                <w:rFonts w:hint="eastAsia" w:ascii="方正仿宋简体" w:hAnsi="Arial" w:eastAsia="方正仿宋简体" w:cs="仿宋_GB2312"/>
                <w:color w:val="333333"/>
                <w:kern w:val="0"/>
                <w:szCs w:val="21"/>
                <w:shd w:val="clear" w:color="auto" w:fill="FFFFFF"/>
              </w:rPr>
              <w:t>不断加强司法民调工作的规范化建设，使司法民调在构建和谐社会工作中发挥应有的作用，真实有效地促进社会的长期稳定。</w:t>
            </w:r>
          </w:p>
        </w:tc>
        <w:tc>
          <w:tcPr>
            <w:tcW w:w="694" w:type="dxa"/>
            <w:noWrap w:val="0"/>
            <w:vAlign w:val="center"/>
          </w:tcPr>
          <w:p>
            <w:pPr>
              <w:pStyle w:val="7"/>
              <w:widowControl/>
              <w:spacing w:before="0" w:beforeAutospacing="0" w:after="0" w:afterAutospacing="0" w:line="405" w:lineRule="atLeast"/>
              <w:jc w:val="center"/>
              <w:rPr>
                <w:rFonts w:hint="eastAsia"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效果指数</w:t>
            </w:r>
          </w:p>
        </w:tc>
        <w:tc>
          <w:tcPr>
            <w:tcW w:w="1037" w:type="dxa"/>
            <w:noWrap w:val="0"/>
            <w:vAlign w:val="center"/>
          </w:tcPr>
          <w:p>
            <w:pPr>
              <w:jc w:val="center"/>
              <w:rPr>
                <w:rFonts w:hint="eastAsia" w:ascii="方正仿宋简体" w:hAnsi="Arial" w:eastAsia="方正仿宋简体" w:cs="仿宋_GB2312"/>
                <w:color w:val="333333"/>
                <w:szCs w:val="21"/>
                <w:shd w:val="clear" w:color="auto" w:fill="FFFFFF"/>
              </w:rPr>
            </w:pPr>
            <w:r>
              <w:rPr>
                <w:rFonts w:hint="eastAsia" w:ascii="方正仿宋简体" w:hAnsi="Arial" w:eastAsia="方正仿宋简体" w:cs="仿宋_GB2312"/>
                <w:color w:val="333333"/>
                <w:szCs w:val="21"/>
                <w:shd w:val="clear" w:color="auto" w:fill="FFFFFF"/>
              </w:rPr>
              <w:t>√</w:t>
            </w:r>
          </w:p>
        </w:tc>
        <w:tc>
          <w:tcPr>
            <w:tcW w:w="819"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Cs w:val="24"/>
                <w:shd w:val="clear" w:color="auto" w:fill="FFFFFF"/>
              </w:rPr>
            </w:pPr>
          </w:p>
        </w:tc>
        <w:tc>
          <w:tcPr>
            <w:tcW w:w="1074"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Cs w:val="24"/>
                <w:shd w:val="clear" w:color="auto" w:fill="FFFFFF"/>
              </w:rPr>
            </w:pPr>
          </w:p>
        </w:tc>
        <w:tc>
          <w:tcPr>
            <w:tcW w:w="858"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center"/>
          </w:tcPr>
          <w:p>
            <w:pPr>
              <w:spacing w:line="300" w:lineRule="exact"/>
              <w:jc w:val="left"/>
              <w:rPr>
                <w:rFonts w:hint="eastAsia" w:ascii="方正仿宋简体" w:hAnsi="Arial" w:eastAsia="方正仿宋简体" w:cs="仿宋_GB2312"/>
                <w:color w:val="333333"/>
                <w:kern w:val="0"/>
                <w:szCs w:val="21"/>
                <w:shd w:val="clear" w:color="auto" w:fill="FFFFFF"/>
              </w:rPr>
            </w:pPr>
            <w:r>
              <w:rPr>
                <w:rFonts w:hint="eastAsia" w:ascii="方正仿宋简体" w:hAnsi="Arial" w:eastAsia="方正仿宋简体" w:cs="仿宋_GB2312"/>
                <w:color w:val="333333"/>
                <w:kern w:val="0"/>
                <w:szCs w:val="21"/>
                <w:shd w:val="clear" w:color="auto" w:fill="FFFFFF"/>
              </w:rPr>
              <w:t>　　司法民调相关工作的受理</w:t>
            </w:r>
          </w:p>
        </w:tc>
        <w:tc>
          <w:tcPr>
            <w:tcW w:w="1405" w:type="dxa"/>
            <w:noWrap w:val="0"/>
            <w:vAlign w:val="center"/>
          </w:tcPr>
          <w:p>
            <w:pPr>
              <w:spacing w:line="300" w:lineRule="exact"/>
              <w:jc w:val="left"/>
              <w:rPr>
                <w:rFonts w:hint="eastAsia" w:ascii="方正仿宋简体" w:hAnsi="Arial" w:eastAsia="方正仿宋简体" w:cs="仿宋_GB2312"/>
                <w:color w:val="333333"/>
                <w:kern w:val="0"/>
                <w:szCs w:val="21"/>
                <w:shd w:val="clear" w:color="auto" w:fill="FFFFFF"/>
              </w:rPr>
            </w:pPr>
            <w:r>
              <w:rPr>
                <w:rFonts w:hint="eastAsia" w:ascii="方正仿宋简体" w:hAnsi="Arial" w:eastAsia="方正仿宋简体" w:cs="仿宋_GB2312"/>
                <w:color w:val="333333"/>
                <w:kern w:val="0"/>
                <w:szCs w:val="21"/>
                <w:shd w:val="clear" w:color="auto" w:fill="FFFFFF"/>
              </w:rPr>
              <w:t>一是，协调刑事解救人员的安置帮教工作；二是，参与调解人民疑难复杂纠纷；三是，组织开展对社区矫正人员的管理、教育和帮助；四是，组织开展法制教育宣传工作；五是，公正事务及法律服务咨询；六是，对法律救援申请进行初审、司法鉴定人员初审，等。</w:t>
            </w:r>
          </w:p>
        </w:tc>
        <w:tc>
          <w:tcPr>
            <w:tcW w:w="2520" w:type="dxa"/>
            <w:noWrap w:val="0"/>
            <w:vAlign w:val="center"/>
          </w:tcPr>
          <w:p>
            <w:pPr>
              <w:spacing w:line="300" w:lineRule="exact"/>
              <w:jc w:val="left"/>
              <w:rPr>
                <w:rFonts w:hint="eastAsia" w:ascii="方正仿宋简体" w:hAnsi="Arial" w:eastAsia="方正仿宋简体" w:cs="仿宋_GB2312"/>
                <w:color w:val="333333"/>
                <w:kern w:val="0"/>
                <w:szCs w:val="21"/>
                <w:shd w:val="clear" w:color="auto" w:fill="FFFFFF"/>
              </w:rPr>
            </w:pPr>
            <w:r>
              <w:rPr>
                <w:rFonts w:hint="eastAsia" w:ascii="方正仿宋简体" w:hAnsi="Arial" w:eastAsia="方正仿宋简体" w:cs="仿宋_GB2312"/>
                <w:color w:val="333333"/>
                <w:kern w:val="0"/>
                <w:szCs w:val="21"/>
                <w:shd w:val="clear" w:color="auto" w:fill="FFFFFF"/>
              </w:rPr>
              <w:t>以关爱社区居民为宗旨，以有关法律为依据，确保社区稳定，社会和谐。</w:t>
            </w:r>
          </w:p>
        </w:tc>
        <w:tc>
          <w:tcPr>
            <w:tcW w:w="694" w:type="dxa"/>
            <w:noWrap w:val="0"/>
            <w:vAlign w:val="center"/>
          </w:tcPr>
          <w:p>
            <w:pPr>
              <w:spacing w:line="300" w:lineRule="exact"/>
              <w:jc w:val="center"/>
              <w:rPr>
                <w:rFonts w:hint="eastAsia" w:ascii="方正仿宋简体" w:hAnsi="Arial" w:eastAsia="方正仿宋简体" w:cs="仿宋_GB2312"/>
                <w:color w:val="333333"/>
                <w:szCs w:val="21"/>
                <w:shd w:val="clear" w:color="auto" w:fill="FFFFFF"/>
              </w:rPr>
            </w:pPr>
            <w:r>
              <w:rPr>
                <w:rFonts w:hint="eastAsia" w:ascii="方正书宋_GBK" w:eastAsia="方正书宋_GBK"/>
              </w:rPr>
              <w:t>效果指数</w:t>
            </w:r>
          </w:p>
        </w:tc>
        <w:tc>
          <w:tcPr>
            <w:tcW w:w="1037" w:type="dxa"/>
            <w:noWrap w:val="0"/>
            <w:vAlign w:val="center"/>
          </w:tcPr>
          <w:p>
            <w:pPr>
              <w:jc w:val="center"/>
              <w:rPr>
                <w:rFonts w:hint="eastAsia" w:ascii="方正仿宋简体" w:hAnsi="Arial" w:eastAsia="方正仿宋简体" w:cs="仿宋_GB2312"/>
                <w:color w:val="333333"/>
                <w:szCs w:val="21"/>
                <w:shd w:val="clear" w:color="auto" w:fill="FFFFFF"/>
              </w:rPr>
            </w:pPr>
            <w:r>
              <w:rPr>
                <w:rFonts w:hint="eastAsia" w:ascii="方正仿宋简体" w:hAnsi="Arial" w:eastAsia="方正仿宋简体" w:cs="仿宋_GB2312"/>
                <w:color w:val="333333"/>
                <w:szCs w:val="21"/>
                <w:shd w:val="clear" w:color="auto" w:fill="FFFFFF"/>
              </w:rPr>
              <w:t>√</w:t>
            </w:r>
          </w:p>
        </w:tc>
        <w:tc>
          <w:tcPr>
            <w:tcW w:w="819"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Cs w:val="24"/>
                <w:shd w:val="clear" w:color="auto" w:fill="FFFFFF"/>
              </w:rPr>
            </w:pPr>
          </w:p>
        </w:tc>
        <w:tc>
          <w:tcPr>
            <w:tcW w:w="1074"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Cs w:val="24"/>
                <w:shd w:val="clear" w:color="auto" w:fill="FFFFFF"/>
              </w:rPr>
            </w:pPr>
          </w:p>
        </w:tc>
        <w:tc>
          <w:tcPr>
            <w:tcW w:w="858"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center"/>
          </w:tcPr>
          <w:p>
            <w:pPr>
              <w:spacing w:line="300" w:lineRule="exact"/>
              <w:jc w:val="left"/>
              <w:rPr>
                <w:rFonts w:hint="eastAsia" w:ascii="方正仿宋简体" w:hAnsi="Arial" w:eastAsia="方正仿宋简体" w:cs="仿宋_GB2312"/>
                <w:color w:val="333333"/>
                <w:kern w:val="0"/>
                <w:szCs w:val="21"/>
                <w:shd w:val="clear" w:color="auto" w:fill="FFFFFF"/>
              </w:rPr>
            </w:pPr>
            <w:r>
              <w:rPr>
                <w:rFonts w:hint="eastAsia" w:ascii="方正仿宋简体" w:hAnsi="Arial" w:eastAsia="方正仿宋简体" w:cs="仿宋_GB2312"/>
                <w:color w:val="333333"/>
                <w:kern w:val="0"/>
                <w:szCs w:val="21"/>
                <w:shd w:val="clear" w:color="auto" w:fill="FFFFFF"/>
              </w:rPr>
              <w:t>武装工作</w:t>
            </w:r>
          </w:p>
        </w:tc>
        <w:tc>
          <w:tcPr>
            <w:tcW w:w="1405" w:type="dxa"/>
            <w:noWrap w:val="0"/>
            <w:vAlign w:val="center"/>
          </w:tcPr>
          <w:p>
            <w:pPr>
              <w:spacing w:line="300" w:lineRule="exact"/>
              <w:jc w:val="left"/>
              <w:rPr>
                <w:rFonts w:hint="eastAsia" w:ascii="方正仿宋简体" w:hAnsi="Arial" w:eastAsia="方正仿宋简体" w:cs="仿宋_GB2312"/>
                <w:color w:val="333333"/>
                <w:kern w:val="0"/>
                <w:szCs w:val="21"/>
                <w:shd w:val="clear" w:color="auto" w:fill="FFFFFF"/>
              </w:rPr>
            </w:pPr>
            <w:r>
              <w:rPr>
                <w:rFonts w:hint="eastAsia" w:ascii="方正仿宋简体" w:hAnsi="Arial" w:eastAsia="方正仿宋简体" w:cs="仿宋_GB2312"/>
                <w:color w:val="333333"/>
                <w:kern w:val="0"/>
                <w:szCs w:val="21"/>
                <w:shd w:val="clear" w:color="auto" w:fill="FFFFFF"/>
              </w:rPr>
              <w:t>全面推进街道各项武装工作</w:t>
            </w:r>
          </w:p>
        </w:tc>
        <w:tc>
          <w:tcPr>
            <w:tcW w:w="2520" w:type="dxa"/>
            <w:noWrap w:val="0"/>
            <w:vAlign w:val="center"/>
          </w:tcPr>
          <w:p>
            <w:pPr>
              <w:spacing w:line="300" w:lineRule="exact"/>
              <w:jc w:val="left"/>
              <w:rPr>
                <w:rFonts w:hint="eastAsia" w:ascii="方正仿宋简体" w:hAnsi="Arial" w:eastAsia="方正仿宋简体" w:cs="仿宋_GB2312"/>
                <w:color w:val="333333"/>
                <w:kern w:val="0"/>
                <w:szCs w:val="21"/>
                <w:shd w:val="clear" w:color="auto" w:fill="FFFFFF"/>
              </w:rPr>
            </w:pPr>
            <w:r>
              <w:rPr>
                <w:rFonts w:hint="eastAsia" w:ascii="方正仿宋简体" w:hAnsi="Arial" w:eastAsia="方正仿宋简体" w:cs="仿宋_GB2312"/>
                <w:color w:val="333333"/>
                <w:kern w:val="0"/>
                <w:szCs w:val="21"/>
                <w:shd w:val="clear" w:color="auto" w:fill="FFFFFF"/>
              </w:rPr>
              <w:t>以人武部正规化建设为重点，进一步提高民兵预备役人员素质，强化民兵作用发挥，有力促进基层武装工作不断发展。</w:t>
            </w:r>
          </w:p>
        </w:tc>
        <w:tc>
          <w:tcPr>
            <w:tcW w:w="694" w:type="dxa"/>
            <w:noWrap w:val="0"/>
            <w:vAlign w:val="center"/>
          </w:tcPr>
          <w:p>
            <w:pPr>
              <w:pStyle w:val="7"/>
              <w:widowControl/>
              <w:spacing w:before="0" w:beforeAutospacing="0" w:after="0" w:afterAutospacing="0" w:line="405" w:lineRule="atLeast"/>
              <w:jc w:val="center"/>
              <w:rPr>
                <w:rFonts w:hint="eastAsia"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效果指数</w:t>
            </w:r>
          </w:p>
        </w:tc>
        <w:tc>
          <w:tcPr>
            <w:tcW w:w="1037" w:type="dxa"/>
            <w:noWrap w:val="0"/>
            <w:vAlign w:val="center"/>
          </w:tcPr>
          <w:p>
            <w:pPr>
              <w:jc w:val="center"/>
              <w:rPr>
                <w:rFonts w:hint="eastAsia" w:ascii="方正仿宋简体" w:hAnsi="Arial" w:eastAsia="方正仿宋简体" w:cs="仿宋_GB2312"/>
                <w:color w:val="333333"/>
                <w:szCs w:val="21"/>
                <w:shd w:val="clear" w:color="auto" w:fill="FFFFFF"/>
              </w:rPr>
            </w:pPr>
            <w:r>
              <w:rPr>
                <w:rFonts w:hint="eastAsia" w:ascii="方正仿宋简体" w:hAnsi="Arial" w:eastAsia="方正仿宋简体" w:cs="仿宋_GB2312"/>
                <w:color w:val="333333"/>
                <w:szCs w:val="21"/>
                <w:shd w:val="clear" w:color="auto" w:fill="FFFFFF"/>
              </w:rPr>
              <w:t>√</w:t>
            </w:r>
          </w:p>
        </w:tc>
        <w:tc>
          <w:tcPr>
            <w:tcW w:w="819"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Cs w:val="24"/>
                <w:shd w:val="clear" w:color="auto" w:fill="FFFFFF"/>
              </w:rPr>
            </w:pPr>
          </w:p>
        </w:tc>
        <w:tc>
          <w:tcPr>
            <w:tcW w:w="1074"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Cs w:val="24"/>
                <w:shd w:val="clear" w:color="auto" w:fill="FFFFFF"/>
              </w:rPr>
            </w:pPr>
          </w:p>
        </w:tc>
        <w:tc>
          <w:tcPr>
            <w:tcW w:w="858"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center"/>
          </w:tcPr>
          <w:p>
            <w:pPr>
              <w:spacing w:line="300" w:lineRule="exact"/>
              <w:jc w:val="left"/>
              <w:rPr>
                <w:rFonts w:hint="eastAsia" w:ascii="方正仿宋简体" w:hAnsi="Arial" w:eastAsia="方正仿宋简体" w:cs="仿宋_GB2312"/>
                <w:color w:val="333333"/>
                <w:kern w:val="0"/>
                <w:szCs w:val="21"/>
                <w:shd w:val="clear" w:color="auto" w:fill="FFFFFF"/>
              </w:rPr>
            </w:pPr>
            <w:r>
              <w:rPr>
                <w:rFonts w:hint="eastAsia" w:ascii="方正仿宋简体" w:hAnsi="Arial" w:eastAsia="方正仿宋简体" w:cs="仿宋_GB2312"/>
                <w:color w:val="333333"/>
                <w:kern w:val="0"/>
                <w:szCs w:val="21"/>
                <w:shd w:val="clear" w:color="auto" w:fill="FFFFFF"/>
              </w:rPr>
              <w:t>　　积极推进各项武装工作</w:t>
            </w:r>
          </w:p>
        </w:tc>
        <w:tc>
          <w:tcPr>
            <w:tcW w:w="1405" w:type="dxa"/>
            <w:noWrap w:val="0"/>
            <w:vAlign w:val="center"/>
          </w:tcPr>
          <w:p>
            <w:pPr>
              <w:spacing w:line="300" w:lineRule="exact"/>
              <w:jc w:val="left"/>
              <w:rPr>
                <w:rFonts w:hint="eastAsia" w:ascii="方正仿宋简体" w:hAnsi="Arial" w:eastAsia="方正仿宋简体" w:cs="仿宋_GB2312"/>
                <w:color w:val="333333"/>
                <w:kern w:val="0"/>
                <w:szCs w:val="21"/>
                <w:shd w:val="clear" w:color="auto" w:fill="FFFFFF"/>
              </w:rPr>
            </w:pPr>
            <w:r>
              <w:rPr>
                <w:rFonts w:hint="eastAsia" w:ascii="方正仿宋简体" w:hAnsi="Arial" w:eastAsia="方正仿宋简体" w:cs="仿宋_GB2312"/>
                <w:color w:val="333333"/>
                <w:kern w:val="0"/>
                <w:szCs w:val="21"/>
                <w:shd w:val="clear" w:color="auto" w:fill="FFFFFF"/>
              </w:rPr>
              <w:t>一是，抓好民兵整组、政治教育、军事训练和退伍军人预备役登记核对工作；二是，搞好兵役登记，落实预征对象，按照征兵命令完成年度征集任务；三是，拟制辖区内战时兵员动员计划和平时抢险救灾应急计划，落实战备方案；四是，配合民政部门搞</w:t>
            </w:r>
            <w:r>
              <w:rPr>
                <w:rFonts w:hint="eastAsia" w:ascii="方正仿宋简体" w:hAnsi="Arial" w:eastAsia="方正仿宋简体" w:cs="仿宋_GB2312"/>
                <w:color w:val="333333"/>
                <w:szCs w:val="21"/>
                <w:shd w:val="clear" w:color="auto" w:fill="FFFFFF"/>
              </w:rPr>
              <w:t>√</w:t>
            </w:r>
            <w:r>
              <w:rPr>
                <w:rFonts w:hint="eastAsia" w:ascii="方正仿宋简体" w:hAnsi="Arial" w:eastAsia="方正仿宋简体" w:cs="仿宋_GB2312"/>
                <w:color w:val="333333"/>
                <w:kern w:val="0"/>
                <w:szCs w:val="21"/>
                <w:shd w:val="clear" w:color="auto" w:fill="FFFFFF"/>
              </w:rPr>
              <w:t>好现役军人的优抚和退伍军人的安置工作。</w:t>
            </w:r>
          </w:p>
        </w:tc>
        <w:tc>
          <w:tcPr>
            <w:tcW w:w="2520" w:type="dxa"/>
            <w:noWrap w:val="0"/>
            <w:vAlign w:val="center"/>
          </w:tcPr>
          <w:p>
            <w:pPr>
              <w:spacing w:line="300" w:lineRule="exact"/>
              <w:jc w:val="left"/>
              <w:rPr>
                <w:rFonts w:hint="eastAsia" w:ascii="方正仿宋简体" w:hAnsi="Arial" w:eastAsia="方正仿宋简体" w:cs="仿宋_GB2312"/>
                <w:color w:val="333333"/>
                <w:kern w:val="0"/>
                <w:szCs w:val="21"/>
                <w:shd w:val="clear" w:color="auto" w:fill="FFFFFF"/>
              </w:rPr>
            </w:pPr>
            <w:r>
              <w:rPr>
                <w:rFonts w:hint="eastAsia" w:ascii="方正仿宋简体" w:hAnsi="Arial" w:eastAsia="方正仿宋简体" w:cs="仿宋_GB2312"/>
                <w:color w:val="333333"/>
                <w:kern w:val="0"/>
                <w:szCs w:val="21"/>
                <w:shd w:val="clear" w:color="auto" w:fill="FFFFFF"/>
              </w:rPr>
              <w:t>不断提高民兵素质，强有力地促进基层武装工作不断发展。</w:t>
            </w:r>
          </w:p>
        </w:tc>
        <w:tc>
          <w:tcPr>
            <w:tcW w:w="694" w:type="dxa"/>
            <w:noWrap w:val="0"/>
            <w:vAlign w:val="center"/>
          </w:tcPr>
          <w:p>
            <w:pPr>
              <w:spacing w:line="300" w:lineRule="exact"/>
              <w:jc w:val="center"/>
              <w:rPr>
                <w:rFonts w:hint="eastAsia" w:ascii="方正仿宋简体" w:hAnsi="Arial" w:eastAsia="方正仿宋简体" w:cs="仿宋_GB2312"/>
                <w:color w:val="333333"/>
                <w:szCs w:val="21"/>
                <w:shd w:val="clear" w:color="auto" w:fill="FFFFFF"/>
              </w:rPr>
            </w:pPr>
            <w:r>
              <w:rPr>
                <w:rFonts w:hint="eastAsia" w:ascii="方正书宋_GBK" w:eastAsia="方正书宋_GBK"/>
              </w:rPr>
              <w:t>效果指数</w:t>
            </w:r>
          </w:p>
        </w:tc>
        <w:tc>
          <w:tcPr>
            <w:tcW w:w="1037" w:type="dxa"/>
            <w:noWrap w:val="0"/>
            <w:vAlign w:val="center"/>
          </w:tcPr>
          <w:p>
            <w:pPr>
              <w:jc w:val="center"/>
              <w:rPr>
                <w:rFonts w:hint="eastAsia" w:ascii="方正仿宋简体" w:hAnsi="Arial" w:eastAsia="方正仿宋简体" w:cs="仿宋_GB2312"/>
                <w:color w:val="333333"/>
                <w:szCs w:val="21"/>
                <w:shd w:val="clear" w:color="auto" w:fill="FFFFFF"/>
              </w:rPr>
            </w:pPr>
            <w:r>
              <w:rPr>
                <w:rFonts w:hint="eastAsia" w:ascii="方正仿宋简体" w:hAnsi="Arial" w:eastAsia="方正仿宋简体" w:cs="仿宋_GB2312"/>
                <w:color w:val="333333"/>
                <w:szCs w:val="21"/>
                <w:shd w:val="clear" w:color="auto" w:fill="FFFFFF"/>
              </w:rPr>
              <w:t>√</w:t>
            </w:r>
          </w:p>
        </w:tc>
        <w:tc>
          <w:tcPr>
            <w:tcW w:w="819"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Cs w:val="24"/>
                <w:shd w:val="clear" w:color="auto" w:fill="FFFFFF"/>
              </w:rPr>
            </w:pPr>
          </w:p>
        </w:tc>
        <w:tc>
          <w:tcPr>
            <w:tcW w:w="1074"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Cs w:val="24"/>
                <w:shd w:val="clear" w:color="auto" w:fill="FFFFFF"/>
              </w:rPr>
            </w:pPr>
          </w:p>
        </w:tc>
        <w:tc>
          <w:tcPr>
            <w:tcW w:w="858"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center"/>
          </w:tcPr>
          <w:p>
            <w:pPr>
              <w:spacing w:line="300" w:lineRule="exact"/>
              <w:jc w:val="left"/>
              <w:rPr>
                <w:rFonts w:hint="eastAsia" w:ascii="方正仿宋简体" w:hAnsi="Arial" w:eastAsia="方正仿宋简体" w:cs="仿宋_GB2312"/>
                <w:color w:val="333333"/>
                <w:kern w:val="0"/>
                <w:szCs w:val="21"/>
                <w:shd w:val="clear" w:color="auto" w:fill="FFFFFF"/>
              </w:rPr>
            </w:pPr>
            <w:r>
              <w:rPr>
                <w:rFonts w:hint="eastAsia" w:ascii="方正仿宋简体" w:hAnsi="Arial" w:eastAsia="方正仿宋简体" w:cs="仿宋_GB2312"/>
                <w:color w:val="333333"/>
                <w:kern w:val="0"/>
                <w:szCs w:val="21"/>
                <w:shd w:val="clear" w:color="auto" w:fill="FFFFFF"/>
              </w:rPr>
              <w:t>住房保障工作</w:t>
            </w:r>
          </w:p>
        </w:tc>
        <w:tc>
          <w:tcPr>
            <w:tcW w:w="1405" w:type="dxa"/>
            <w:noWrap w:val="0"/>
            <w:vAlign w:val="center"/>
          </w:tcPr>
          <w:p>
            <w:pPr>
              <w:spacing w:line="300" w:lineRule="exact"/>
              <w:jc w:val="left"/>
              <w:rPr>
                <w:rFonts w:hint="eastAsia" w:ascii="方正仿宋简体" w:hAnsi="Arial" w:eastAsia="方正仿宋简体" w:cs="仿宋_GB2312"/>
                <w:color w:val="333333"/>
                <w:kern w:val="0"/>
                <w:szCs w:val="21"/>
                <w:shd w:val="clear" w:color="auto" w:fill="FFFFFF"/>
              </w:rPr>
            </w:pPr>
            <w:r>
              <w:rPr>
                <w:rFonts w:hint="eastAsia" w:ascii="方正仿宋简体" w:hAnsi="Arial" w:eastAsia="方正仿宋简体" w:cs="仿宋_GB2312"/>
                <w:color w:val="333333"/>
                <w:kern w:val="0"/>
                <w:szCs w:val="21"/>
                <w:shd w:val="clear" w:color="auto" w:fill="FFFFFF"/>
              </w:rPr>
              <w:t>为居民办理住房保障工作相关手续</w:t>
            </w:r>
          </w:p>
        </w:tc>
        <w:tc>
          <w:tcPr>
            <w:tcW w:w="2520" w:type="dxa"/>
            <w:noWrap w:val="0"/>
            <w:vAlign w:val="center"/>
          </w:tcPr>
          <w:p>
            <w:pPr>
              <w:spacing w:line="300" w:lineRule="exact"/>
              <w:jc w:val="left"/>
              <w:rPr>
                <w:rFonts w:hint="eastAsia" w:ascii="方正仿宋简体" w:hAnsi="Arial" w:eastAsia="方正仿宋简体" w:cs="仿宋_GB2312"/>
                <w:color w:val="333333"/>
                <w:kern w:val="0"/>
                <w:szCs w:val="21"/>
                <w:shd w:val="clear" w:color="auto" w:fill="FFFFFF"/>
              </w:rPr>
            </w:pPr>
            <w:r>
              <w:rPr>
                <w:rFonts w:hint="eastAsia" w:ascii="方正仿宋简体" w:hAnsi="Arial" w:eastAsia="方正仿宋简体" w:cs="仿宋_GB2312"/>
                <w:color w:val="333333"/>
                <w:kern w:val="0"/>
                <w:szCs w:val="21"/>
                <w:shd w:val="clear" w:color="auto" w:fill="FFFFFF"/>
              </w:rPr>
              <w:t>坚持</w:t>
            </w:r>
            <w:r>
              <w:rPr>
                <w:rFonts w:hint="cs" w:ascii="方正仿宋简体" w:hAnsi="Arial" w:eastAsia="方正仿宋简体" w:cs="仿宋_GB2312"/>
                <w:color w:val="333333"/>
                <w:kern w:val="0"/>
                <w:szCs w:val="21"/>
                <w:shd w:val="clear" w:color="auto" w:fill="FFFFFF"/>
                <w:cs/>
              </w:rPr>
              <w:t>“</w:t>
            </w:r>
            <w:r>
              <w:rPr>
                <w:rFonts w:hint="eastAsia" w:ascii="方正仿宋简体" w:hAnsi="Arial" w:eastAsia="方正仿宋简体" w:cs="仿宋_GB2312"/>
                <w:color w:val="333333"/>
                <w:kern w:val="0"/>
                <w:szCs w:val="21"/>
                <w:shd w:val="clear" w:color="auto" w:fill="FFFFFF"/>
              </w:rPr>
              <w:t>致力民生，崇尚务实</w:t>
            </w:r>
            <w:r>
              <w:rPr>
                <w:rFonts w:hint="cs" w:ascii="方正仿宋简体" w:hAnsi="Arial" w:eastAsia="方正仿宋简体" w:cs="仿宋_GB2312"/>
                <w:color w:val="333333"/>
                <w:kern w:val="0"/>
                <w:szCs w:val="21"/>
                <w:shd w:val="clear" w:color="auto" w:fill="FFFFFF"/>
                <w:cs/>
              </w:rPr>
              <w:t>”</w:t>
            </w:r>
            <w:r>
              <w:rPr>
                <w:rFonts w:hint="eastAsia" w:ascii="方正仿宋简体" w:hAnsi="Arial" w:eastAsia="方正仿宋简体" w:cs="仿宋_GB2312"/>
                <w:color w:val="333333"/>
                <w:kern w:val="0"/>
                <w:szCs w:val="21"/>
                <w:shd w:val="clear" w:color="auto" w:fill="FFFFFF"/>
              </w:rPr>
              <w:t>的理念，公平公正的为居民办理住房保障工作的相关手续，促进社区和谐稳定。</w:t>
            </w:r>
          </w:p>
        </w:tc>
        <w:tc>
          <w:tcPr>
            <w:tcW w:w="694" w:type="dxa"/>
            <w:noWrap w:val="0"/>
            <w:vAlign w:val="center"/>
          </w:tcPr>
          <w:p>
            <w:pPr>
              <w:pStyle w:val="7"/>
              <w:widowControl/>
              <w:spacing w:before="0" w:beforeAutospacing="0" w:after="0" w:afterAutospacing="0" w:line="405" w:lineRule="atLeast"/>
              <w:jc w:val="center"/>
              <w:rPr>
                <w:rFonts w:hint="eastAsia"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效果指数</w:t>
            </w:r>
          </w:p>
        </w:tc>
        <w:tc>
          <w:tcPr>
            <w:tcW w:w="1037" w:type="dxa"/>
            <w:noWrap w:val="0"/>
            <w:vAlign w:val="center"/>
          </w:tcPr>
          <w:p>
            <w:pPr>
              <w:jc w:val="center"/>
              <w:rPr>
                <w:rFonts w:hint="eastAsia" w:ascii="方正仿宋简体" w:hAnsi="Arial" w:eastAsia="方正仿宋简体" w:cs="仿宋_GB2312"/>
                <w:color w:val="333333"/>
                <w:szCs w:val="21"/>
                <w:shd w:val="clear" w:color="auto" w:fill="FFFFFF"/>
              </w:rPr>
            </w:pPr>
            <w:r>
              <w:rPr>
                <w:rFonts w:hint="eastAsia" w:ascii="方正仿宋简体" w:hAnsi="Arial" w:eastAsia="方正仿宋简体" w:cs="仿宋_GB2312"/>
                <w:color w:val="333333"/>
                <w:szCs w:val="21"/>
                <w:shd w:val="clear" w:color="auto" w:fill="FFFFFF"/>
              </w:rPr>
              <w:t>√</w:t>
            </w:r>
          </w:p>
        </w:tc>
        <w:tc>
          <w:tcPr>
            <w:tcW w:w="819"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Cs w:val="24"/>
                <w:shd w:val="clear" w:color="auto" w:fill="FFFFFF"/>
              </w:rPr>
            </w:pPr>
          </w:p>
        </w:tc>
        <w:tc>
          <w:tcPr>
            <w:tcW w:w="1074"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Cs w:val="24"/>
                <w:shd w:val="clear" w:color="auto" w:fill="FFFFFF"/>
              </w:rPr>
            </w:pPr>
          </w:p>
        </w:tc>
        <w:tc>
          <w:tcPr>
            <w:tcW w:w="858"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center"/>
          </w:tcPr>
          <w:p>
            <w:pPr>
              <w:spacing w:line="300" w:lineRule="exact"/>
              <w:jc w:val="left"/>
              <w:rPr>
                <w:rFonts w:hint="eastAsia" w:ascii="方正仿宋简体" w:hAnsi="Arial" w:eastAsia="方正仿宋简体" w:cs="仿宋_GB2312"/>
                <w:color w:val="333333"/>
                <w:kern w:val="0"/>
                <w:szCs w:val="21"/>
                <w:shd w:val="clear" w:color="auto" w:fill="FFFFFF"/>
              </w:rPr>
            </w:pPr>
            <w:r>
              <w:rPr>
                <w:rFonts w:hint="eastAsia" w:ascii="方正仿宋简体" w:hAnsi="Arial" w:eastAsia="方正仿宋简体" w:cs="仿宋_GB2312"/>
                <w:color w:val="333333"/>
                <w:kern w:val="0"/>
                <w:szCs w:val="21"/>
                <w:shd w:val="clear" w:color="auto" w:fill="FFFFFF"/>
              </w:rPr>
              <w:t>　　住房保障相关工作的受理</w:t>
            </w:r>
          </w:p>
        </w:tc>
        <w:tc>
          <w:tcPr>
            <w:tcW w:w="1405" w:type="dxa"/>
            <w:noWrap w:val="0"/>
            <w:vAlign w:val="center"/>
          </w:tcPr>
          <w:p>
            <w:pPr>
              <w:spacing w:line="300" w:lineRule="exact"/>
              <w:jc w:val="left"/>
              <w:rPr>
                <w:rFonts w:hint="eastAsia" w:ascii="方正仿宋简体" w:hAnsi="Arial" w:eastAsia="方正仿宋简体" w:cs="仿宋_GB2312"/>
                <w:color w:val="333333"/>
                <w:kern w:val="0"/>
                <w:szCs w:val="21"/>
                <w:shd w:val="clear" w:color="auto" w:fill="FFFFFF"/>
              </w:rPr>
            </w:pPr>
            <w:r>
              <w:rPr>
                <w:rFonts w:hint="eastAsia" w:ascii="方正仿宋简体" w:hAnsi="Arial" w:eastAsia="方正仿宋简体" w:cs="仿宋_GB2312"/>
                <w:color w:val="333333"/>
                <w:kern w:val="0"/>
                <w:szCs w:val="21"/>
                <w:shd w:val="clear" w:color="auto" w:fill="FFFFFF"/>
              </w:rPr>
              <w:t>一是，廉租住房实物配租资格申请；二是廉租住房租赁补贴资格申请；三是，廉价房购买资格申请，等。</w:t>
            </w:r>
          </w:p>
        </w:tc>
        <w:tc>
          <w:tcPr>
            <w:tcW w:w="2520" w:type="dxa"/>
            <w:noWrap w:val="0"/>
            <w:vAlign w:val="center"/>
          </w:tcPr>
          <w:p>
            <w:pPr>
              <w:spacing w:line="300" w:lineRule="exact"/>
              <w:jc w:val="left"/>
              <w:rPr>
                <w:rFonts w:hint="eastAsia" w:ascii="方正仿宋简体" w:hAnsi="Arial" w:eastAsia="方正仿宋简体" w:cs="仿宋_GB2312"/>
                <w:color w:val="333333"/>
                <w:kern w:val="0"/>
                <w:szCs w:val="21"/>
                <w:shd w:val="clear" w:color="auto" w:fill="FFFFFF"/>
              </w:rPr>
            </w:pPr>
            <w:r>
              <w:rPr>
                <w:rFonts w:hint="eastAsia" w:ascii="方正仿宋简体" w:hAnsi="Arial" w:eastAsia="方正仿宋简体" w:cs="仿宋_GB2312"/>
                <w:color w:val="333333"/>
                <w:kern w:val="0"/>
                <w:szCs w:val="21"/>
                <w:shd w:val="clear" w:color="auto" w:fill="FFFFFF"/>
              </w:rPr>
              <w:t>切实解决群众的实际生活问题，努力实现中低收入家庭</w:t>
            </w:r>
            <w:r>
              <w:rPr>
                <w:rFonts w:hint="cs" w:ascii="方正仿宋简体" w:hAnsi="Arial" w:eastAsia="方正仿宋简体" w:cs="仿宋_GB2312"/>
                <w:color w:val="333333"/>
                <w:kern w:val="0"/>
                <w:szCs w:val="21"/>
                <w:shd w:val="clear" w:color="auto" w:fill="FFFFFF"/>
                <w:cs/>
              </w:rPr>
              <w:t>“</w:t>
            </w:r>
            <w:r>
              <w:rPr>
                <w:rFonts w:hint="eastAsia" w:ascii="方正仿宋简体" w:hAnsi="Arial" w:eastAsia="方正仿宋简体" w:cs="仿宋_GB2312"/>
                <w:color w:val="333333"/>
                <w:kern w:val="0"/>
                <w:szCs w:val="21"/>
                <w:shd w:val="clear" w:color="auto" w:fill="FFFFFF"/>
              </w:rPr>
              <w:t>住有所居</w:t>
            </w:r>
            <w:r>
              <w:rPr>
                <w:rFonts w:hint="cs" w:ascii="方正仿宋简体" w:hAnsi="Arial" w:eastAsia="方正仿宋简体" w:cs="仿宋_GB2312"/>
                <w:color w:val="333333"/>
                <w:kern w:val="0"/>
                <w:szCs w:val="21"/>
                <w:shd w:val="clear" w:color="auto" w:fill="FFFFFF"/>
                <w:cs/>
              </w:rPr>
              <w:t>”</w:t>
            </w:r>
            <w:r>
              <w:rPr>
                <w:rFonts w:hint="eastAsia" w:ascii="方正仿宋简体" w:hAnsi="Arial" w:eastAsia="方正仿宋简体" w:cs="仿宋_GB2312"/>
                <w:color w:val="333333"/>
                <w:kern w:val="0"/>
                <w:szCs w:val="21"/>
                <w:shd w:val="clear" w:color="auto" w:fill="FFFFFF"/>
              </w:rPr>
              <w:t>。</w:t>
            </w:r>
          </w:p>
        </w:tc>
        <w:tc>
          <w:tcPr>
            <w:tcW w:w="694" w:type="dxa"/>
            <w:noWrap w:val="0"/>
            <w:vAlign w:val="center"/>
          </w:tcPr>
          <w:p>
            <w:pPr>
              <w:spacing w:line="300" w:lineRule="exact"/>
              <w:jc w:val="center"/>
              <w:rPr>
                <w:rFonts w:hint="eastAsia" w:ascii="方正仿宋简体" w:hAnsi="Arial" w:eastAsia="方正仿宋简体" w:cs="仿宋_GB2312"/>
                <w:color w:val="333333"/>
                <w:szCs w:val="21"/>
                <w:shd w:val="clear" w:color="auto" w:fill="FFFFFF"/>
              </w:rPr>
            </w:pPr>
            <w:r>
              <w:rPr>
                <w:rFonts w:hint="eastAsia" w:ascii="方正书宋_GBK" w:eastAsia="方正书宋_GBK"/>
              </w:rPr>
              <w:t>效果指数</w:t>
            </w:r>
          </w:p>
        </w:tc>
        <w:tc>
          <w:tcPr>
            <w:tcW w:w="1037" w:type="dxa"/>
            <w:noWrap w:val="0"/>
            <w:vAlign w:val="center"/>
          </w:tcPr>
          <w:p>
            <w:pPr>
              <w:jc w:val="center"/>
              <w:rPr>
                <w:rFonts w:hint="eastAsia" w:ascii="方正仿宋简体" w:hAnsi="Arial" w:eastAsia="方正仿宋简体" w:cs="仿宋_GB2312"/>
                <w:color w:val="333333"/>
                <w:szCs w:val="21"/>
                <w:shd w:val="clear" w:color="auto" w:fill="FFFFFF"/>
              </w:rPr>
            </w:pPr>
            <w:r>
              <w:rPr>
                <w:rFonts w:hint="eastAsia" w:ascii="方正仿宋简体" w:hAnsi="Arial" w:eastAsia="方正仿宋简体" w:cs="仿宋_GB2312"/>
                <w:color w:val="333333"/>
                <w:szCs w:val="21"/>
                <w:shd w:val="clear" w:color="auto" w:fill="FFFFFF"/>
              </w:rPr>
              <w:t>√</w:t>
            </w:r>
          </w:p>
        </w:tc>
        <w:tc>
          <w:tcPr>
            <w:tcW w:w="819"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Cs w:val="24"/>
                <w:shd w:val="clear" w:color="auto" w:fill="FFFFFF"/>
              </w:rPr>
            </w:pPr>
          </w:p>
        </w:tc>
        <w:tc>
          <w:tcPr>
            <w:tcW w:w="1074"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Cs w:val="24"/>
                <w:shd w:val="clear" w:color="auto" w:fill="FFFFFF"/>
              </w:rPr>
            </w:pPr>
          </w:p>
        </w:tc>
        <w:tc>
          <w:tcPr>
            <w:tcW w:w="858"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center"/>
          </w:tcPr>
          <w:p>
            <w:pPr>
              <w:spacing w:line="300" w:lineRule="exact"/>
              <w:jc w:val="left"/>
              <w:rPr>
                <w:rFonts w:hint="eastAsia" w:ascii="方正仿宋简体" w:hAnsi="Arial" w:eastAsia="方正仿宋简体" w:cs="仿宋_GB2312"/>
                <w:color w:val="333333"/>
                <w:kern w:val="0"/>
                <w:szCs w:val="21"/>
                <w:shd w:val="clear" w:color="auto" w:fill="FFFFFF"/>
              </w:rPr>
            </w:pPr>
            <w:r>
              <w:rPr>
                <w:rFonts w:hint="eastAsia" w:ascii="方正仿宋简体" w:hAnsi="Arial" w:eastAsia="方正仿宋简体" w:cs="仿宋_GB2312"/>
                <w:color w:val="333333"/>
                <w:kern w:val="0"/>
                <w:szCs w:val="21"/>
                <w:shd w:val="clear" w:color="auto" w:fill="FFFFFF"/>
              </w:rPr>
              <w:t>居民小区管理与治理的其他相关工作</w:t>
            </w:r>
          </w:p>
        </w:tc>
        <w:tc>
          <w:tcPr>
            <w:tcW w:w="1405" w:type="dxa"/>
            <w:noWrap w:val="0"/>
            <w:vAlign w:val="center"/>
          </w:tcPr>
          <w:p>
            <w:pPr>
              <w:spacing w:line="300" w:lineRule="exact"/>
              <w:jc w:val="left"/>
              <w:rPr>
                <w:rFonts w:hint="eastAsia" w:ascii="方正仿宋简体" w:hAnsi="Arial" w:eastAsia="方正仿宋简体" w:cs="仿宋_GB2312"/>
                <w:color w:val="333333"/>
                <w:kern w:val="0"/>
                <w:szCs w:val="21"/>
                <w:shd w:val="clear" w:color="auto" w:fill="FFFFFF"/>
              </w:rPr>
            </w:pPr>
            <w:r>
              <w:rPr>
                <w:rFonts w:hint="eastAsia" w:ascii="方正仿宋简体" w:hAnsi="Arial" w:eastAsia="方正仿宋简体" w:cs="仿宋_GB2312"/>
                <w:color w:val="333333"/>
                <w:kern w:val="0"/>
                <w:szCs w:val="21"/>
                <w:shd w:val="clear" w:color="auto" w:fill="FFFFFF"/>
              </w:rPr>
              <w:t>为提升小区环境卫生水平，提高小区居民生活水平做好相关工作</w:t>
            </w:r>
          </w:p>
        </w:tc>
        <w:tc>
          <w:tcPr>
            <w:tcW w:w="2520" w:type="dxa"/>
            <w:noWrap w:val="0"/>
            <w:vAlign w:val="center"/>
          </w:tcPr>
          <w:p>
            <w:pPr>
              <w:spacing w:line="300" w:lineRule="exact"/>
              <w:jc w:val="left"/>
              <w:rPr>
                <w:rFonts w:hint="eastAsia" w:ascii="方正仿宋简体" w:hAnsi="Arial" w:eastAsia="方正仿宋简体" w:cs="仿宋_GB2312"/>
                <w:color w:val="333333"/>
                <w:kern w:val="0"/>
                <w:szCs w:val="21"/>
                <w:shd w:val="clear" w:color="auto" w:fill="FFFFFF"/>
              </w:rPr>
            </w:pPr>
            <w:r>
              <w:rPr>
                <w:rFonts w:hint="eastAsia" w:ascii="方正仿宋简体" w:hAnsi="Arial" w:eastAsia="方正仿宋简体" w:cs="仿宋_GB2312"/>
                <w:color w:val="333333"/>
                <w:kern w:val="0"/>
                <w:szCs w:val="21"/>
                <w:shd w:val="clear" w:color="auto" w:fill="FFFFFF"/>
              </w:rPr>
              <w:t>通过相关工作的进行，大大提升小区环境卫生水平，改善居民生活环境和质量。</w:t>
            </w:r>
          </w:p>
        </w:tc>
        <w:tc>
          <w:tcPr>
            <w:tcW w:w="694" w:type="dxa"/>
            <w:noWrap w:val="0"/>
            <w:vAlign w:val="center"/>
          </w:tcPr>
          <w:p>
            <w:pPr>
              <w:pStyle w:val="7"/>
              <w:widowControl/>
              <w:spacing w:before="0" w:beforeAutospacing="0" w:after="0" w:afterAutospacing="0" w:line="405" w:lineRule="atLeast"/>
              <w:jc w:val="center"/>
              <w:rPr>
                <w:rFonts w:hint="eastAsia"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效果指数</w:t>
            </w:r>
          </w:p>
        </w:tc>
        <w:tc>
          <w:tcPr>
            <w:tcW w:w="1037" w:type="dxa"/>
            <w:noWrap w:val="0"/>
            <w:vAlign w:val="center"/>
          </w:tcPr>
          <w:p>
            <w:pPr>
              <w:jc w:val="center"/>
              <w:rPr>
                <w:rFonts w:hint="eastAsia" w:ascii="方正仿宋简体" w:hAnsi="Arial" w:eastAsia="方正仿宋简体" w:cs="仿宋_GB2312"/>
                <w:color w:val="333333"/>
                <w:szCs w:val="21"/>
                <w:shd w:val="clear" w:color="auto" w:fill="FFFFFF"/>
              </w:rPr>
            </w:pPr>
            <w:r>
              <w:rPr>
                <w:rFonts w:hint="eastAsia" w:ascii="方正仿宋简体" w:hAnsi="Arial" w:eastAsia="方正仿宋简体" w:cs="仿宋_GB2312"/>
                <w:color w:val="333333"/>
                <w:szCs w:val="21"/>
                <w:shd w:val="clear" w:color="auto" w:fill="FFFFFF"/>
              </w:rPr>
              <w:t>√</w:t>
            </w:r>
          </w:p>
        </w:tc>
        <w:tc>
          <w:tcPr>
            <w:tcW w:w="819"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Cs w:val="24"/>
                <w:shd w:val="clear" w:color="auto" w:fill="FFFFFF"/>
              </w:rPr>
            </w:pPr>
          </w:p>
        </w:tc>
        <w:tc>
          <w:tcPr>
            <w:tcW w:w="1074"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Cs w:val="24"/>
                <w:shd w:val="clear" w:color="auto" w:fill="FFFFFF"/>
              </w:rPr>
            </w:pPr>
          </w:p>
        </w:tc>
        <w:tc>
          <w:tcPr>
            <w:tcW w:w="858"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center"/>
          </w:tcPr>
          <w:p>
            <w:pPr>
              <w:spacing w:line="300" w:lineRule="exact"/>
              <w:jc w:val="left"/>
              <w:rPr>
                <w:rFonts w:hint="eastAsia" w:ascii="方正仿宋简体" w:hAnsi="Arial" w:eastAsia="方正仿宋简体" w:cs="仿宋_GB2312"/>
                <w:color w:val="333333"/>
                <w:kern w:val="0"/>
                <w:szCs w:val="21"/>
                <w:shd w:val="clear" w:color="auto" w:fill="FFFFFF"/>
              </w:rPr>
            </w:pPr>
            <w:r>
              <w:rPr>
                <w:rFonts w:hint="eastAsia" w:ascii="方正仿宋简体" w:hAnsi="Arial" w:eastAsia="方正仿宋简体" w:cs="仿宋_GB2312"/>
                <w:color w:val="333333"/>
                <w:kern w:val="0"/>
                <w:szCs w:val="21"/>
                <w:shd w:val="clear" w:color="auto" w:fill="FFFFFF"/>
              </w:rPr>
              <w:t>设立居民小区负责人</w:t>
            </w:r>
          </w:p>
        </w:tc>
        <w:tc>
          <w:tcPr>
            <w:tcW w:w="1405" w:type="dxa"/>
            <w:noWrap w:val="0"/>
            <w:vAlign w:val="center"/>
          </w:tcPr>
          <w:p>
            <w:pPr>
              <w:spacing w:line="300" w:lineRule="exact"/>
              <w:jc w:val="left"/>
              <w:rPr>
                <w:rFonts w:hint="eastAsia" w:ascii="方正仿宋简体" w:hAnsi="Arial" w:eastAsia="方正仿宋简体" w:cs="仿宋_GB2312"/>
                <w:color w:val="333333"/>
                <w:kern w:val="0"/>
                <w:szCs w:val="21"/>
                <w:shd w:val="clear" w:color="auto" w:fill="FFFFFF"/>
              </w:rPr>
            </w:pPr>
            <w:r>
              <w:rPr>
                <w:rFonts w:hint="eastAsia" w:ascii="方正仿宋简体" w:hAnsi="Arial" w:eastAsia="方正仿宋简体" w:cs="仿宋_GB2312"/>
                <w:color w:val="333333"/>
                <w:kern w:val="0"/>
                <w:szCs w:val="21"/>
                <w:shd w:val="clear" w:color="auto" w:fill="FFFFFF"/>
              </w:rPr>
              <w:t>在城区每个小区设立一名小区负责人，负责维持和提升小区环境卫生水平，并将小区居民生活及小区内存在的其他问题及时向居委会反映，以使其得到及时解决。</w:t>
            </w:r>
          </w:p>
        </w:tc>
        <w:tc>
          <w:tcPr>
            <w:tcW w:w="2520" w:type="dxa"/>
            <w:noWrap w:val="0"/>
            <w:vAlign w:val="center"/>
          </w:tcPr>
          <w:p>
            <w:pPr>
              <w:spacing w:line="300" w:lineRule="exact"/>
              <w:jc w:val="left"/>
              <w:rPr>
                <w:rFonts w:hint="eastAsia" w:ascii="方正仿宋简体" w:hAnsi="Arial" w:eastAsia="方正仿宋简体" w:cs="仿宋_GB2312"/>
                <w:color w:val="333333"/>
                <w:kern w:val="0"/>
                <w:szCs w:val="21"/>
                <w:shd w:val="clear" w:color="auto" w:fill="FFFFFF"/>
              </w:rPr>
            </w:pPr>
            <w:r>
              <w:rPr>
                <w:rFonts w:hint="eastAsia" w:ascii="方正仿宋简体" w:hAnsi="Arial" w:eastAsia="方正仿宋简体" w:cs="仿宋_GB2312"/>
                <w:color w:val="333333"/>
                <w:kern w:val="0"/>
                <w:szCs w:val="21"/>
                <w:shd w:val="clear" w:color="auto" w:fill="FFFFFF"/>
              </w:rPr>
              <w:t>使小区环境卫生水得到真正的提升，使小区内各种问题得到及时有效解决。</w:t>
            </w:r>
          </w:p>
        </w:tc>
        <w:tc>
          <w:tcPr>
            <w:tcW w:w="694" w:type="dxa"/>
            <w:noWrap w:val="0"/>
            <w:vAlign w:val="center"/>
          </w:tcPr>
          <w:p>
            <w:pPr>
              <w:pStyle w:val="7"/>
              <w:widowControl/>
              <w:spacing w:before="0" w:beforeAutospacing="0" w:after="0" w:afterAutospacing="0" w:line="405" w:lineRule="atLeast"/>
              <w:jc w:val="center"/>
              <w:rPr>
                <w:rFonts w:hint="eastAsia"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效果指数</w:t>
            </w:r>
          </w:p>
        </w:tc>
        <w:tc>
          <w:tcPr>
            <w:tcW w:w="1037" w:type="dxa"/>
            <w:noWrap w:val="0"/>
            <w:vAlign w:val="center"/>
          </w:tcPr>
          <w:p>
            <w:pPr>
              <w:jc w:val="center"/>
            </w:pPr>
            <w:r>
              <w:rPr>
                <w:rFonts w:hint="eastAsia" w:ascii="方正仿宋简体" w:hAnsi="Arial" w:eastAsia="方正仿宋简体" w:cs="仿宋_GB2312"/>
                <w:color w:val="333333"/>
                <w:szCs w:val="21"/>
                <w:shd w:val="clear" w:color="auto" w:fill="FFFFFF"/>
              </w:rPr>
              <w:t>√</w:t>
            </w:r>
          </w:p>
        </w:tc>
        <w:tc>
          <w:tcPr>
            <w:tcW w:w="819"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Cs w:val="24"/>
                <w:shd w:val="clear" w:color="auto" w:fill="FFFFFF"/>
              </w:rPr>
            </w:pPr>
          </w:p>
        </w:tc>
        <w:tc>
          <w:tcPr>
            <w:tcW w:w="1074"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Cs w:val="24"/>
                <w:shd w:val="clear" w:color="auto" w:fill="FFFFFF"/>
              </w:rPr>
            </w:pPr>
          </w:p>
        </w:tc>
        <w:tc>
          <w:tcPr>
            <w:tcW w:w="858"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center"/>
          </w:tcPr>
          <w:p>
            <w:pPr>
              <w:spacing w:line="300" w:lineRule="exact"/>
              <w:jc w:val="left"/>
              <w:rPr>
                <w:rFonts w:hint="eastAsia" w:ascii="方正仿宋简体" w:hAnsi="Arial" w:eastAsia="方正仿宋简体" w:cs="仿宋_GB2312"/>
                <w:color w:val="333333"/>
                <w:kern w:val="0"/>
                <w:szCs w:val="21"/>
                <w:shd w:val="clear" w:color="auto" w:fill="FFFFFF"/>
              </w:rPr>
            </w:pPr>
            <w:r>
              <w:rPr>
                <w:rFonts w:hint="eastAsia" w:ascii="方正仿宋简体" w:hAnsi="Arial" w:eastAsia="方正仿宋简体" w:cs="仿宋_GB2312"/>
                <w:color w:val="333333"/>
                <w:kern w:val="0"/>
                <w:szCs w:val="21"/>
                <w:shd w:val="clear" w:color="auto" w:fill="FFFFFF"/>
              </w:rPr>
              <w:t>　　居民小区绿化工程</w:t>
            </w:r>
          </w:p>
        </w:tc>
        <w:tc>
          <w:tcPr>
            <w:tcW w:w="1405" w:type="dxa"/>
            <w:noWrap w:val="0"/>
            <w:vAlign w:val="center"/>
          </w:tcPr>
          <w:p>
            <w:pPr>
              <w:spacing w:line="300" w:lineRule="exact"/>
              <w:jc w:val="left"/>
              <w:rPr>
                <w:rFonts w:hint="eastAsia" w:ascii="方正仿宋简体" w:hAnsi="Arial" w:eastAsia="方正仿宋简体" w:cs="仿宋_GB2312"/>
                <w:color w:val="333333"/>
                <w:kern w:val="0"/>
                <w:szCs w:val="21"/>
                <w:shd w:val="clear" w:color="auto" w:fill="FFFFFF"/>
              </w:rPr>
            </w:pPr>
            <w:r>
              <w:rPr>
                <w:rFonts w:hint="eastAsia" w:ascii="方正仿宋简体" w:hAnsi="Arial" w:eastAsia="方正仿宋简体" w:cs="仿宋_GB2312"/>
                <w:color w:val="333333"/>
                <w:kern w:val="0"/>
                <w:szCs w:val="21"/>
                <w:shd w:val="clear" w:color="auto" w:fill="FFFFFF"/>
              </w:rPr>
              <w:t>按照政府要求，对指定居民小区进行环境绿化，不断提升小区环境质量。</w:t>
            </w:r>
          </w:p>
        </w:tc>
        <w:tc>
          <w:tcPr>
            <w:tcW w:w="2520" w:type="dxa"/>
            <w:noWrap w:val="0"/>
            <w:vAlign w:val="center"/>
          </w:tcPr>
          <w:p>
            <w:pPr>
              <w:spacing w:line="300" w:lineRule="exact"/>
              <w:jc w:val="left"/>
              <w:rPr>
                <w:rFonts w:hint="eastAsia" w:ascii="方正仿宋简体" w:hAnsi="Arial" w:eastAsia="方正仿宋简体" w:cs="仿宋_GB2312"/>
                <w:color w:val="333333"/>
                <w:kern w:val="0"/>
                <w:szCs w:val="21"/>
                <w:shd w:val="clear" w:color="auto" w:fill="FFFFFF"/>
              </w:rPr>
            </w:pPr>
            <w:r>
              <w:rPr>
                <w:rFonts w:hint="eastAsia" w:ascii="方正仿宋简体" w:hAnsi="Arial" w:eastAsia="方正仿宋简体" w:cs="仿宋_GB2312"/>
                <w:color w:val="333333"/>
                <w:kern w:val="0"/>
                <w:szCs w:val="21"/>
                <w:shd w:val="clear" w:color="auto" w:fill="FFFFFF"/>
              </w:rPr>
              <w:t>美化小区环境，不断提升小区环境质量。</w:t>
            </w:r>
          </w:p>
        </w:tc>
        <w:tc>
          <w:tcPr>
            <w:tcW w:w="694" w:type="dxa"/>
            <w:noWrap w:val="0"/>
            <w:vAlign w:val="center"/>
          </w:tcPr>
          <w:p>
            <w:pPr>
              <w:spacing w:line="300" w:lineRule="exact"/>
              <w:jc w:val="center"/>
              <w:rPr>
                <w:rFonts w:hint="eastAsia" w:ascii="方正仿宋简体" w:hAnsi="Arial" w:eastAsia="方正仿宋简体" w:cs="仿宋_GB2312"/>
                <w:color w:val="333333"/>
                <w:szCs w:val="21"/>
                <w:shd w:val="clear" w:color="auto" w:fill="FFFFFF"/>
              </w:rPr>
            </w:pPr>
            <w:r>
              <w:rPr>
                <w:rFonts w:hint="eastAsia" w:ascii="方正书宋_GBK" w:eastAsia="方正书宋_GBK"/>
              </w:rPr>
              <w:t>效果指数</w:t>
            </w:r>
          </w:p>
        </w:tc>
        <w:tc>
          <w:tcPr>
            <w:tcW w:w="1037" w:type="dxa"/>
            <w:noWrap w:val="0"/>
            <w:vAlign w:val="center"/>
          </w:tcPr>
          <w:p>
            <w:pPr>
              <w:jc w:val="center"/>
              <w:rPr>
                <w:rFonts w:hint="eastAsia" w:ascii="方正仿宋简体" w:hAnsi="Arial" w:eastAsia="方正仿宋简体" w:cs="仿宋_GB2312"/>
                <w:color w:val="333333"/>
                <w:szCs w:val="21"/>
                <w:shd w:val="clear" w:color="auto" w:fill="FFFFFF"/>
              </w:rPr>
            </w:pPr>
            <w:r>
              <w:rPr>
                <w:rFonts w:hint="eastAsia" w:ascii="方正仿宋简体" w:hAnsi="Arial" w:eastAsia="方正仿宋简体" w:cs="仿宋_GB2312"/>
                <w:color w:val="333333"/>
                <w:szCs w:val="21"/>
                <w:shd w:val="clear" w:color="auto" w:fill="FFFFFF"/>
              </w:rPr>
              <w:t>√</w:t>
            </w:r>
          </w:p>
        </w:tc>
        <w:tc>
          <w:tcPr>
            <w:tcW w:w="819"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Cs w:val="24"/>
                <w:shd w:val="clear" w:color="auto" w:fill="FFFFFF"/>
              </w:rPr>
            </w:pPr>
          </w:p>
        </w:tc>
        <w:tc>
          <w:tcPr>
            <w:tcW w:w="1074"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Cs w:val="24"/>
                <w:shd w:val="clear" w:color="auto" w:fill="FFFFFF"/>
              </w:rPr>
            </w:pPr>
          </w:p>
        </w:tc>
        <w:tc>
          <w:tcPr>
            <w:tcW w:w="858"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center"/>
          </w:tcPr>
          <w:p>
            <w:pPr>
              <w:spacing w:line="300" w:lineRule="exact"/>
              <w:jc w:val="left"/>
              <w:rPr>
                <w:rFonts w:hint="eastAsia" w:ascii="方正仿宋简体" w:hAnsi="Arial" w:eastAsia="方正仿宋简体" w:cs="仿宋_GB2312"/>
                <w:color w:val="333333"/>
                <w:kern w:val="0"/>
                <w:szCs w:val="21"/>
                <w:shd w:val="clear" w:color="auto" w:fill="FFFFFF"/>
              </w:rPr>
            </w:pPr>
            <w:r>
              <w:rPr>
                <w:rFonts w:hint="eastAsia" w:ascii="方正仿宋简体" w:hAnsi="Arial" w:eastAsia="方正仿宋简体" w:cs="仿宋_GB2312"/>
                <w:color w:val="333333"/>
                <w:kern w:val="0"/>
                <w:szCs w:val="21"/>
                <w:shd w:val="clear" w:color="auto" w:fill="FFFFFF"/>
              </w:rPr>
              <w:t>　　居民小区硬化工程</w:t>
            </w:r>
          </w:p>
        </w:tc>
        <w:tc>
          <w:tcPr>
            <w:tcW w:w="1405" w:type="dxa"/>
            <w:noWrap w:val="0"/>
            <w:vAlign w:val="center"/>
          </w:tcPr>
          <w:p>
            <w:pPr>
              <w:spacing w:line="300" w:lineRule="exact"/>
              <w:jc w:val="left"/>
              <w:rPr>
                <w:rFonts w:hint="eastAsia" w:ascii="方正仿宋简体" w:hAnsi="Arial" w:eastAsia="方正仿宋简体" w:cs="仿宋_GB2312"/>
                <w:color w:val="333333"/>
                <w:kern w:val="0"/>
                <w:szCs w:val="21"/>
                <w:shd w:val="clear" w:color="auto" w:fill="FFFFFF"/>
              </w:rPr>
            </w:pPr>
            <w:r>
              <w:rPr>
                <w:rFonts w:hint="eastAsia" w:ascii="方正仿宋简体" w:hAnsi="Arial" w:eastAsia="方正仿宋简体" w:cs="仿宋_GB2312"/>
                <w:color w:val="333333"/>
                <w:kern w:val="0"/>
                <w:szCs w:val="21"/>
                <w:shd w:val="clear" w:color="auto" w:fill="FFFFFF"/>
              </w:rPr>
              <w:t>按照政府要求，对指定居民小区裸露地块进行硬化，改善居民小区环境，并为居民出行带来极大便利</w:t>
            </w:r>
          </w:p>
        </w:tc>
        <w:tc>
          <w:tcPr>
            <w:tcW w:w="2520" w:type="dxa"/>
            <w:noWrap w:val="0"/>
            <w:vAlign w:val="center"/>
          </w:tcPr>
          <w:p>
            <w:pPr>
              <w:spacing w:line="300" w:lineRule="exact"/>
              <w:jc w:val="left"/>
              <w:rPr>
                <w:rFonts w:hint="eastAsia" w:ascii="方正仿宋简体" w:hAnsi="Arial" w:eastAsia="方正仿宋简体" w:cs="仿宋_GB2312"/>
                <w:color w:val="333333"/>
                <w:kern w:val="0"/>
                <w:szCs w:val="21"/>
                <w:shd w:val="clear" w:color="auto" w:fill="FFFFFF"/>
              </w:rPr>
            </w:pPr>
            <w:r>
              <w:rPr>
                <w:rFonts w:hint="eastAsia" w:ascii="方正仿宋简体" w:hAnsi="Arial" w:eastAsia="方正仿宋简体" w:cs="仿宋_GB2312"/>
                <w:color w:val="333333"/>
                <w:kern w:val="0"/>
                <w:szCs w:val="21"/>
                <w:shd w:val="clear" w:color="auto" w:fill="FFFFFF"/>
              </w:rPr>
              <w:t>改善居民小区环境，为居民出行带来极大便利。</w:t>
            </w:r>
          </w:p>
        </w:tc>
        <w:tc>
          <w:tcPr>
            <w:tcW w:w="694" w:type="dxa"/>
            <w:noWrap w:val="0"/>
            <w:vAlign w:val="center"/>
          </w:tcPr>
          <w:p>
            <w:pPr>
              <w:spacing w:line="300" w:lineRule="exact"/>
              <w:jc w:val="center"/>
              <w:rPr>
                <w:rFonts w:hint="eastAsia" w:ascii="方正仿宋简体" w:hAnsi="Arial" w:eastAsia="方正仿宋简体" w:cs="仿宋_GB2312"/>
                <w:color w:val="333333"/>
                <w:szCs w:val="21"/>
                <w:shd w:val="clear" w:color="auto" w:fill="FFFFFF"/>
              </w:rPr>
            </w:pPr>
            <w:r>
              <w:rPr>
                <w:rFonts w:hint="eastAsia" w:ascii="方正书宋_GBK" w:eastAsia="方正书宋_GBK"/>
              </w:rPr>
              <w:t>效果指数</w:t>
            </w:r>
          </w:p>
        </w:tc>
        <w:tc>
          <w:tcPr>
            <w:tcW w:w="1037" w:type="dxa"/>
            <w:noWrap w:val="0"/>
            <w:vAlign w:val="center"/>
          </w:tcPr>
          <w:p>
            <w:pPr>
              <w:jc w:val="center"/>
              <w:rPr>
                <w:rFonts w:hint="eastAsia" w:ascii="方正仿宋简体" w:hAnsi="Arial" w:eastAsia="方正仿宋简体" w:cs="仿宋_GB2312"/>
                <w:color w:val="333333"/>
                <w:szCs w:val="21"/>
                <w:shd w:val="clear" w:color="auto" w:fill="FFFFFF"/>
              </w:rPr>
            </w:pPr>
            <w:r>
              <w:rPr>
                <w:rFonts w:hint="eastAsia" w:ascii="方正仿宋简体" w:hAnsi="Arial" w:eastAsia="方正仿宋简体" w:cs="仿宋_GB2312"/>
                <w:color w:val="333333"/>
                <w:szCs w:val="21"/>
                <w:shd w:val="clear" w:color="auto" w:fill="FFFFFF"/>
              </w:rPr>
              <w:t>√</w:t>
            </w:r>
          </w:p>
        </w:tc>
        <w:tc>
          <w:tcPr>
            <w:tcW w:w="819"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Cs w:val="24"/>
                <w:shd w:val="clear" w:color="auto" w:fill="FFFFFF"/>
              </w:rPr>
            </w:pPr>
          </w:p>
        </w:tc>
        <w:tc>
          <w:tcPr>
            <w:tcW w:w="1074"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Cs w:val="24"/>
                <w:shd w:val="clear" w:color="auto" w:fill="FFFFFF"/>
              </w:rPr>
            </w:pPr>
          </w:p>
        </w:tc>
        <w:tc>
          <w:tcPr>
            <w:tcW w:w="858"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center"/>
          </w:tcPr>
          <w:p>
            <w:pPr>
              <w:spacing w:line="300" w:lineRule="exact"/>
              <w:jc w:val="left"/>
              <w:rPr>
                <w:rFonts w:hint="eastAsia" w:ascii="方正仿宋简体" w:hAnsi="Arial" w:eastAsia="方正仿宋简体" w:cs="仿宋_GB2312"/>
                <w:color w:val="333333"/>
                <w:kern w:val="0"/>
                <w:szCs w:val="21"/>
                <w:shd w:val="clear" w:color="auto" w:fill="FFFFFF"/>
              </w:rPr>
            </w:pPr>
            <w:r>
              <w:rPr>
                <w:rFonts w:hint="eastAsia" w:ascii="方正仿宋简体" w:hAnsi="Arial" w:eastAsia="方正仿宋简体" w:cs="仿宋_GB2312"/>
                <w:color w:val="333333"/>
                <w:kern w:val="0"/>
                <w:szCs w:val="21"/>
                <w:shd w:val="clear" w:color="auto" w:fill="FFFFFF"/>
              </w:rPr>
              <w:t>　　委托专业物业公司对无物业管理的老旧小区进行统一管理和综合治理。</w:t>
            </w:r>
          </w:p>
        </w:tc>
        <w:tc>
          <w:tcPr>
            <w:tcW w:w="1405" w:type="dxa"/>
            <w:noWrap w:val="0"/>
            <w:vAlign w:val="center"/>
          </w:tcPr>
          <w:p>
            <w:pPr>
              <w:spacing w:line="300" w:lineRule="exact"/>
              <w:jc w:val="left"/>
              <w:rPr>
                <w:rFonts w:hint="eastAsia" w:ascii="方正仿宋简体" w:hAnsi="Arial" w:eastAsia="方正仿宋简体" w:cs="仿宋_GB2312"/>
                <w:color w:val="333333"/>
                <w:kern w:val="0"/>
                <w:szCs w:val="21"/>
                <w:shd w:val="clear" w:color="auto" w:fill="FFFFFF"/>
              </w:rPr>
            </w:pPr>
            <w:r>
              <w:rPr>
                <w:rFonts w:hint="eastAsia" w:ascii="方正仿宋简体" w:hAnsi="Arial" w:eastAsia="方正仿宋简体" w:cs="仿宋_GB2312"/>
                <w:color w:val="333333"/>
                <w:kern w:val="0"/>
                <w:szCs w:val="21"/>
                <w:shd w:val="clear" w:color="auto" w:fill="FFFFFF"/>
              </w:rPr>
              <w:t>许多无物业管理的老旧小区，存在环境脏乱差、安全隐患多等诸多问题，街道办经政府同意，委托专业物业公司对无物业管理的老旧小区进行统一管理和综合治理。</w:t>
            </w:r>
          </w:p>
        </w:tc>
        <w:tc>
          <w:tcPr>
            <w:tcW w:w="2520" w:type="dxa"/>
            <w:noWrap w:val="0"/>
            <w:vAlign w:val="center"/>
          </w:tcPr>
          <w:p>
            <w:pPr>
              <w:spacing w:line="300" w:lineRule="exact"/>
              <w:jc w:val="left"/>
              <w:rPr>
                <w:rFonts w:hint="eastAsia" w:ascii="方正仿宋简体" w:hAnsi="Arial" w:eastAsia="方正仿宋简体" w:cs="仿宋_GB2312"/>
                <w:color w:val="333333"/>
                <w:kern w:val="0"/>
                <w:szCs w:val="21"/>
                <w:shd w:val="clear" w:color="auto" w:fill="FFFFFF"/>
              </w:rPr>
            </w:pPr>
            <w:r>
              <w:rPr>
                <w:rFonts w:hint="eastAsia" w:ascii="方正仿宋简体" w:hAnsi="Arial" w:eastAsia="方正仿宋简体" w:cs="仿宋_GB2312"/>
                <w:color w:val="333333"/>
                <w:kern w:val="0"/>
                <w:szCs w:val="21"/>
                <w:shd w:val="clear" w:color="auto" w:fill="FFFFFF"/>
              </w:rPr>
              <w:t>解决无物业管理的老旧小区内存在的诸多环境问题，大大提升小区居民生活质量。</w:t>
            </w:r>
          </w:p>
        </w:tc>
        <w:tc>
          <w:tcPr>
            <w:tcW w:w="694" w:type="dxa"/>
            <w:noWrap w:val="0"/>
            <w:vAlign w:val="center"/>
          </w:tcPr>
          <w:p>
            <w:pPr>
              <w:spacing w:line="300" w:lineRule="exact"/>
              <w:jc w:val="center"/>
              <w:rPr>
                <w:rFonts w:hint="eastAsia" w:ascii="方正仿宋简体" w:hAnsi="Arial" w:eastAsia="方正仿宋简体" w:cs="仿宋_GB2312"/>
                <w:color w:val="333333"/>
                <w:szCs w:val="21"/>
                <w:shd w:val="clear" w:color="auto" w:fill="FFFFFF"/>
              </w:rPr>
            </w:pPr>
            <w:r>
              <w:rPr>
                <w:rFonts w:hint="eastAsia" w:ascii="方正书宋_GBK" w:eastAsia="方正书宋_GBK"/>
              </w:rPr>
              <w:t>效果指数</w:t>
            </w:r>
          </w:p>
        </w:tc>
        <w:tc>
          <w:tcPr>
            <w:tcW w:w="1037" w:type="dxa"/>
            <w:noWrap w:val="0"/>
            <w:vAlign w:val="center"/>
          </w:tcPr>
          <w:p>
            <w:pPr>
              <w:jc w:val="center"/>
              <w:rPr>
                <w:rFonts w:hint="eastAsia" w:ascii="方正仿宋简体" w:hAnsi="Arial" w:eastAsia="方正仿宋简体" w:cs="仿宋_GB2312"/>
                <w:color w:val="333333"/>
                <w:szCs w:val="21"/>
                <w:shd w:val="clear" w:color="auto" w:fill="FFFFFF"/>
              </w:rPr>
            </w:pPr>
            <w:r>
              <w:rPr>
                <w:rFonts w:hint="eastAsia" w:ascii="方正仿宋简体" w:hAnsi="Arial" w:eastAsia="方正仿宋简体" w:cs="仿宋_GB2312"/>
                <w:color w:val="333333"/>
                <w:szCs w:val="21"/>
                <w:shd w:val="clear" w:color="auto" w:fill="FFFFFF"/>
              </w:rPr>
              <w:t>√</w:t>
            </w:r>
          </w:p>
        </w:tc>
        <w:tc>
          <w:tcPr>
            <w:tcW w:w="819"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Cs w:val="24"/>
                <w:shd w:val="clear" w:color="auto" w:fill="FFFFFF"/>
              </w:rPr>
            </w:pPr>
          </w:p>
        </w:tc>
        <w:tc>
          <w:tcPr>
            <w:tcW w:w="1074"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Cs w:val="24"/>
                <w:shd w:val="clear" w:color="auto" w:fill="FFFFFF"/>
              </w:rPr>
            </w:pPr>
          </w:p>
        </w:tc>
        <w:tc>
          <w:tcPr>
            <w:tcW w:w="858"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center"/>
          </w:tcPr>
          <w:p>
            <w:pPr>
              <w:spacing w:line="300" w:lineRule="exact"/>
              <w:jc w:val="left"/>
              <w:rPr>
                <w:rFonts w:hint="eastAsia" w:ascii="方正仿宋简体" w:hAnsi="Arial" w:eastAsia="方正仿宋简体" w:cs="仿宋_GB2312"/>
                <w:color w:val="333333"/>
                <w:kern w:val="0"/>
                <w:szCs w:val="21"/>
                <w:shd w:val="clear" w:color="auto" w:fill="FFFFFF"/>
              </w:rPr>
            </w:pPr>
            <w:r>
              <w:rPr>
                <w:rFonts w:hint="eastAsia" w:ascii="方正仿宋简体" w:hAnsi="Arial" w:eastAsia="方正仿宋简体" w:cs="仿宋_GB2312"/>
                <w:color w:val="333333"/>
                <w:kern w:val="0"/>
                <w:szCs w:val="21"/>
                <w:shd w:val="clear" w:color="auto" w:fill="FFFFFF"/>
              </w:rPr>
              <w:t>保障相关工商分流人员按时发放工资工作</w:t>
            </w:r>
          </w:p>
        </w:tc>
        <w:tc>
          <w:tcPr>
            <w:tcW w:w="1405" w:type="dxa"/>
            <w:noWrap w:val="0"/>
            <w:vAlign w:val="center"/>
          </w:tcPr>
          <w:p>
            <w:pPr>
              <w:spacing w:line="300" w:lineRule="exact"/>
              <w:jc w:val="left"/>
              <w:rPr>
                <w:rFonts w:hint="eastAsia" w:ascii="方正仿宋简体" w:hAnsi="Arial" w:eastAsia="方正仿宋简体" w:cs="仿宋_GB2312"/>
                <w:color w:val="333333"/>
                <w:kern w:val="0"/>
                <w:szCs w:val="21"/>
                <w:shd w:val="clear" w:color="auto" w:fill="FFFFFF"/>
              </w:rPr>
            </w:pPr>
            <w:r>
              <w:rPr>
                <w:rFonts w:hint="eastAsia" w:ascii="方正仿宋简体" w:hAnsi="Arial" w:eastAsia="方正仿宋简体" w:cs="仿宋_GB2312"/>
                <w:color w:val="333333"/>
                <w:kern w:val="0"/>
                <w:szCs w:val="21"/>
                <w:shd w:val="clear" w:color="auto" w:fill="FFFFFF"/>
              </w:rPr>
              <w:t>为相关工商分流人员按时发放工资、津补贴等。</w:t>
            </w:r>
          </w:p>
        </w:tc>
        <w:tc>
          <w:tcPr>
            <w:tcW w:w="2520" w:type="dxa"/>
            <w:noWrap w:val="0"/>
            <w:vAlign w:val="center"/>
          </w:tcPr>
          <w:p>
            <w:pPr>
              <w:spacing w:line="300" w:lineRule="exact"/>
              <w:jc w:val="left"/>
              <w:rPr>
                <w:rFonts w:hint="eastAsia" w:ascii="方正仿宋简体" w:hAnsi="Arial" w:eastAsia="方正仿宋简体" w:cs="仿宋_GB2312"/>
                <w:color w:val="333333"/>
                <w:szCs w:val="21"/>
                <w:shd w:val="clear" w:color="auto" w:fill="FFFFFF"/>
              </w:rPr>
            </w:pPr>
            <w:r>
              <w:rPr>
                <w:rFonts w:hint="eastAsia" w:ascii="方正书宋_GBK" w:eastAsia="方正书宋_GBK"/>
              </w:rPr>
              <w:t>保障相关工商分流人员继续就业，为社会创造更多价值。</w:t>
            </w:r>
          </w:p>
        </w:tc>
        <w:tc>
          <w:tcPr>
            <w:tcW w:w="694" w:type="dxa"/>
            <w:noWrap w:val="0"/>
            <w:vAlign w:val="center"/>
          </w:tcPr>
          <w:p>
            <w:pPr>
              <w:pStyle w:val="7"/>
              <w:widowControl/>
              <w:spacing w:before="0" w:beforeAutospacing="0" w:after="0" w:afterAutospacing="0" w:line="405" w:lineRule="atLeast"/>
              <w:jc w:val="center"/>
              <w:rPr>
                <w:rFonts w:hint="eastAsia"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效果指数</w:t>
            </w:r>
          </w:p>
        </w:tc>
        <w:tc>
          <w:tcPr>
            <w:tcW w:w="1037" w:type="dxa"/>
            <w:noWrap w:val="0"/>
            <w:vAlign w:val="center"/>
          </w:tcPr>
          <w:p>
            <w:pPr>
              <w:jc w:val="center"/>
              <w:rPr>
                <w:rFonts w:hint="eastAsia" w:ascii="方正仿宋简体" w:hAnsi="Arial" w:eastAsia="方正仿宋简体" w:cs="仿宋_GB2312"/>
                <w:color w:val="333333"/>
                <w:szCs w:val="21"/>
                <w:shd w:val="clear" w:color="auto" w:fill="FFFFFF"/>
              </w:rPr>
            </w:pPr>
            <w:r>
              <w:rPr>
                <w:rFonts w:hint="eastAsia" w:ascii="方正仿宋简体" w:hAnsi="Arial" w:eastAsia="方正仿宋简体" w:cs="仿宋_GB2312"/>
                <w:color w:val="333333"/>
                <w:szCs w:val="21"/>
                <w:shd w:val="clear" w:color="auto" w:fill="FFFFFF"/>
              </w:rPr>
              <w:t>√</w:t>
            </w:r>
          </w:p>
        </w:tc>
        <w:tc>
          <w:tcPr>
            <w:tcW w:w="819"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Cs w:val="24"/>
                <w:shd w:val="clear" w:color="auto" w:fill="FFFFFF"/>
              </w:rPr>
            </w:pPr>
          </w:p>
        </w:tc>
        <w:tc>
          <w:tcPr>
            <w:tcW w:w="1074"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Cs w:val="24"/>
                <w:shd w:val="clear" w:color="auto" w:fill="FFFFFF"/>
              </w:rPr>
            </w:pPr>
          </w:p>
        </w:tc>
        <w:tc>
          <w:tcPr>
            <w:tcW w:w="858"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center"/>
          </w:tcPr>
          <w:p>
            <w:pPr>
              <w:spacing w:line="300" w:lineRule="exact"/>
              <w:jc w:val="left"/>
              <w:rPr>
                <w:rFonts w:hint="eastAsia" w:ascii="方正仿宋简体" w:hAnsi="Arial" w:eastAsia="方正仿宋简体" w:cs="仿宋_GB2312"/>
                <w:color w:val="333333"/>
                <w:kern w:val="0"/>
                <w:szCs w:val="21"/>
                <w:shd w:val="clear" w:color="auto" w:fill="FFFFFF"/>
              </w:rPr>
            </w:pPr>
            <w:r>
              <w:rPr>
                <w:rFonts w:hint="eastAsia" w:ascii="方正仿宋简体" w:hAnsi="Arial" w:eastAsia="方正仿宋简体" w:cs="仿宋_GB2312"/>
                <w:color w:val="333333"/>
                <w:kern w:val="0"/>
                <w:szCs w:val="21"/>
                <w:shd w:val="clear" w:color="auto" w:fill="FFFFFF"/>
              </w:rPr>
              <w:t>　为相关工商分流人员按时发放工资、津补贴等。</w:t>
            </w:r>
          </w:p>
        </w:tc>
        <w:tc>
          <w:tcPr>
            <w:tcW w:w="1405" w:type="dxa"/>
            <w:noWrap w:val="0"/>
            <w:vAlign w:val="center"/>
          </w:tcPr>
          <w:p>
            <w:pPr>
              <w:spacing w:line="300" w:lineRule="exact"/>
              <w:jc w:val="left"/>
              <w:rPr>
                <w:rFonts w:hint="eastAsia" w:ascii="方正仿宋简体" w:hAnsi="Arial" w:eastAsia="方正仿宋简体" w:cs="仿宋_GB2312"/>
                <w:color w:val="333333"/>
                <w:kern w:val="0"/>
                <w:szCs w:val="21"/>
                <w:shd w:val="clear" w:color="auto" w:fill="FFFFFF"/>
              </w:rPr>
            </w:pPr>
            <w:r>
              <w:rPr>
                <w:rFonts w:hint="eastAsia" w:ascii="方正仿宋简体" w:hAnsi="Arial" w:eastAsia="方正仿宋简体" w:cs="仿宋_GB2312"/>
                <w:color w:val="333333"/>
                <w:kern w:val="0"/>
                <w:szCs w:val="21"/>
                <w:shd w:val="clear" w:color="auto" w:fill="FFFFFF"/>
              </w:rPr>
              <w:t>为相关工商分流人员按时发放工资、津补贴等。</w:t>
            </w:r>
          </w:p>
        </w:tc>
        <w:tc>
          <w:tcPr>
            <w:tcW w:w="2520" w:type="dxa"/>
            <w:noWrap w:val="0"/>
            <w:vAlign w:val="center"/>
          </w:tcPr>
          <w:p>
            <w:pPr>
              <w:pStyle w:val="7"/>
              <w:widowControl/>
              <w:spacing w:before="0" w:beforeAutospacing="0" w:after="0" w:afterAutospacing="0" w:line="405" w:lineRule="atLeast"/>
              <w:jc w:val="center"/>
              <w:rPr>
                <w:rFonts w:hint="eastAsia"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保障相关工商分流人员继续就业，为社会创造更多价值。</w:t>
            </w:r>
          </w:p>
        </w:tc>
        <w:tc>
          <w:tcPr>
            <w:tcW w:w="694" w:type="dxa"/>
            <w:noWrap w:val="0"/>
            <w:vAlign w:val="center"/>
          </w:tcPr>
          <w:p>
            <w:pPr>
              <w:pStyle w:val="7"/>
              <w:widowControl/>
              <w:spacing w:before="0" w:beforeAutospacing="0" w:after="0" w:afterAutospacing="0" w:line="405" w:lineRule="atLeast"/>
              <w:jc w:val="center"/>
              <w:rPr>
                <w:rFonts w:hint="eastAsia"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效果指数</w:t>
            </w:r>
          </w:p>
        </w:tc>
        <w:tc>
          <w:tcPr>
            <w:tcW w:w="1037" w:type="dxa"/>
            <w:noWrap w:val="0"/>
            <w:vAlign w:val="center"/>
          </w:tcPr>
          <w:p>
            <w:pPr>
              <w:jc w:val="center"/>
              <w:rPr>
                <w:rFonts w:hint="eastAsia" w:ascii="方正仿宋简体" w:hAnsi="Arial" w:eastAsia="方正仿宋简体" w:cs="仿宋_GB2312"/>
                <w:color w:val="333333"/>
                <w:szCs w:val="21"/>
                <w:shd w:val="clear" w:color="auto" w:fill="FFFFFF"/>
              </w:rPr>
            </w:pPr>
            <w:r>
              <w:rPr>
                <w:rFonts w:hint="eastAsia" w:ascii="方正仿宋简体" w:hAnsi="Arial" w:eastAsia="方正仿宋简体" w:cs="仿宋_GB2312"/>
                <w:color w:val="333333"/>
                <w:szCs w:val="21"/>
                <w:shd w:val="clear" w:color="auto" w:fill="FFFFFF"/>
              </w:rPr>
              <w:t>√</w:t>
            </w:r>
          </w:p>
        </w:tc>
        <w:tc>
          <w:tcPr>
            <w:tcW w:w="819"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Cs w:val="24"/>
                <w:shd w:val="clear" w:color="auto" w:fill="FFFFFF"/>
              </w:rPr>
            </w:pPr>
          </w:p>
        </w:tc>
        <w:tc>
          <w:tcPr>
            <w:tcW w:w="1074"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Cs w:val="24"/>
                <w:shd w:val="clear" w:color="auto" w:fill="FFFFFF"/>
              </w:rPr>
            </w:pPr>
          </w:p>
        </w:tc>
        <w:tc>
          <w:tcPr>
            <w:tcW w:w="858"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center"/>
          </w:tcPr>
          <w:p>
            <w:pPr>
              <w:spacing w:line="300" w:lineRule="exact"/>
              <w:jc w:val="left"/>
              <w:rPr>
                <w:rFonts w:hint="eastAsia" w:ascii="方正仿宋简体" w:hAnsi="Arial" w:eastAsia="方正仿宋简体" w:cs="仿宋_GB2312"/>
                <w:color w:val="333333"/>
                <w:kern w:val="0"/>
                <w:szCs w:val="21"/>
                <w:shd w:val="clear" w:color="auto" w:fill="FFFFFF"/>
              </w:rPr>
            </w:pPr>
            <w:r>
              <w:rPr>
                <w:rFonts w:hint="eastAsia" w:ascii="方正仿宋简体" w:hAnsi="Arial" w:eastAsia="方正仿宋简体" w:cs="仿宋_GB2312"/>
                <w:color w:val="333333"/>
                <w:kern w:val="0"/>
                <w:szCs w:val="21"/>
                <w:shd w:val="clear" w:color="auto" w:fill="FFFFFF"/>
              </w:rPr>
              <w:t>社区基层工作</w:t>
            </w:r>
          </w:p>
        </w:tc>
        <w:tc>
          <w:tcPr>
            <w:tcW w:w="1405" w:type="dxa"/>
            <w:noWrap w:val="0"/>
            <w:vAlign w:val="center"/>
          </w:tcPr>
          <w:p>
            <w:pPr>
              <w:spacing w:line="300" w:lineRule="exact"/>
              <w:jc w:val="left"/>
              <w:rPr>
                <w:rFonts w:hint="eastAsia" w:ascii="方正仿宋简体" w:hAnsi="Arial" w:eastAsia="方正仿宋简体" w:cs="仿宋_GB2312"/>
                <w:color w:val="333333"/>
                <w:kern w:val="0"/>
                <w:szCs w:val="21"/>
                <w:shd w:val="clear" w:color="auto" w:fill="FFFFFF"/>
              </w:rPr>
            </w:pPr>
            <w:r>
              <w:rPr>
                <w:rFonts w:hint="eastAsia" w:ascii="方正仿宋简体" w:hAnsi="Arial" w:eastAsia="方正仿宋简体" w:cs="仿宋_GB2312"/>
                <w:color w:val="333333"/>
                <w:kern w:val="0"/>
                <w:szCs w:val="21"/>
                <w:shd w:val="clear" w:color="auto" w:fill="FFFFFF"/>
              </w:rPr>
              <w:t>全面推进基层治理体系和治理能力现代化</w:t>
            </w:r>
          </w:p>
        </w:tc>
        <w:tc>
          <w:tcPr>
            <w:tcW w:w="2520" w:type="dxa"/>
            <w:noWrap w:val="0"/>
            <w:vAlign w:val="center"/>
          </w:tcPr>
          <w:p>
            <w:pPr>
              <w:spacing w:line="300" w:lineRule="exact"/>
              <w:jc w:val="left"/>
              <w:rPr>
                <w:rFonts w:hint="eastAsia" w:ascii="方正仿宋简体" w:hAnsi="Arial" w:eastAsia="方正仿宋简体" w:cs="仿宋_GB2312"/>
                <w:color w:val="333333"/>
                <w:szCs w:val="21"/>
                <w:shd w:val="clear" w:color="auto" w:fill="FFFFFF"/>
              </w:rPr>
            </w:pPr>
            <w:r>
              <w:rPr>
                <w:rFonts w:hint="eastAsia" w:ascii="方正书宋_GBK" w:eastAsia="方正书宋_GBK"/>
              </w:rPr>
              <w:t>通过一系列举措切实推进社区基层治理体系和治理能力现代化，进一步巩固党的执政基础。</w:t>
            </w:r>
          </w:p>
        </w:tc>
        <w:tc>
          <w:tcPr>
            <w:tcW w:w="694" w:type="dxa"/>
            <w:noWrap w:val="0"/>
            <w:vAlign w:val="center"/>
          </w:tcPr>
          <w:p>
            <w:pPr>
              <w:pStyle w:val="7"/>
              <w:widowControl/>
              <w:spacing w:before="0" w:beforeAutospacing="0" w:after="0" w:afterAutospacing="0" w:line="405" w:lineRule="atLeast"/>
              <w:jc w:val="center"/>
              <w:rPr>
                <w:rFonts w:hint="eastAsia"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效果指数</w:t>
            </w:r>
          </w:p>
        </w:tc>
        <w:tc>
          <w:tcPr>
            <w:tcW w:w="1037" w:type="dxa"/>
            <w:noWrap w:val="0"/>
            <w:vAlign w:val="center"/>
          </w:tcPr>
          <w:p>
            <w:pPr>
              <w:jc w:val="center"/>
              <w:rPr>
                <w:rFonts w:hint="eastAsia" w:ascii="方正仿宋简体" w:hAnsi="Arial" w:eastAsia="方正仿宋简体" w:cs="仿宋_GB2312"/>
                <w:color w:val="333333"/>
                <w:szCs w:val="21"/>
                <w:shd w:val="clear" w:color="auto" w:fill="FFFFFF"/>
              </w:rPr>
            </w:pPr>
            <w:r>
              <w:rPr>
                <w:rFonts w:hint="eastAsia" w:ascii="方正仿宋简体" w:hAnsi="Arial" w:eastAsia="方正仿宋简体" w:cs="仿宋_GB2312"/>
                <w:color w:val="333333"/>
                <w:szCs w:val="21"/>
                <w:shd w:val="clear" w:color="auto" w:fill="FFFFFF"/>
              </w:rPr>
              <w:t>√</w:t>
            </w:r>
          </w:p>
        </w:tc>
        <w:tc>
          <w:tcPr>
            <w:tcW w:w="819"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Cs w:val="24"/>
                <w:shd w:val="clear" w:color="auto" w:fill="FFFFFF"/>
              </w:rPr>
            </w:pPr>
          </w:p>
        </w:tc>
        <w:tc>
          <w:tcPr>
            <w:tcW w:w="1074"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Cs w:val="24"/>
                <w:shd w:val="clear" w:color="auto" w:fill="FFFFFF"/>
              </w:rPr>
            </w:pPr>
          </w:p>
        </w:tc>
        <w:tc>
          <w:tcPr>
            <w:tcW w:w="858"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center"/>
          </w:tcPr>
          <w:p>
            <w:pPr>
              <w:spacing w:line="300" w:lineRule="exact"/>
              <w:jc w:val="left"/>
              <w:rPr>
                <w:rFonts w:hint="eastAsia" w:ascii="方正仿宋简体" w:hAnsi="Arial" w:eastAsia="方正仿宋简体" w:cs="仿宋_GB2312"/>
                <w:color w:val="333333"/>
                <w:kern w:val="0"/>
                <w:szCs w:val="21"/>
                <w:shd w:val="clear" w:color="auto" w:fill="FFFFFF"/>
              </w:rPr>
            </w:pPr>
            <w:r>
              <w:rPr>
                <w:rFonts w:hint="eastAsia" w:ascii="方正仿宋简体" w:hAnsi="Arial" w:eastAsia="方正仿宋简体" w:cs="仿宋_GB2312"/>
                <w:color w:val="333333"/>
                <w:kern w:val="0"/>
                <w:szCs w:val="21"/>
                <w:shd w:val="clear" w:color="auto" w:fill="FFFFFF"/>
              </w:rPr>
              <w:t>全县社区全面实施</w:t>
            </w:r>
            <w:r>
              <w:rPr>
                <w:rFonts w:hint="cs" w:ascii="方正仿宋简体" w:hAnsi="Arial" w:eastAsia="方正仿宋简体" w:cs="仿宋_GB2312"/>
                <w:color w:val="333333"/>
                <w:kern w:val="0"/>
                <w:szCs w:val="21"/>
                <w:shd w:val="clear" w:color="auto" w:fill="FFFFFF"/>
                <w:cs/>
              </w:rPr>
              <w:t>“</w:t>
            </w:r>
            <w:r>
              <w:rPr>
                <w:rFonts w:hint="eastAsia" w:ascii="方正仿宋简体" w:hAnsi="Arial" w:eastAsia="方正仿宋简体" w:cs="仿宋_GB2312"/>
                <w:color w:val="333333"/>
                <w:kern w:val="0"/>
                <w:szCs w:val="21"/>
                <w:shd w:val="clear" w:color="auto" w:fill="FFFFFF"/>
              </w:rPr>
              <w:t>四个三</w:t>
            </w:r>
            <w:r>
              <w:rPr>
                <w:rFonts w:hint="cs" w:ascii="方正仿宋简体" w:hAnsi="Arial" w:eastAsia="方正仿宋简体" w:cs="仿宋_GB2312"/>
                <w:color w:val="333333"/>
                <w:kern w:val="0"/>
                <w:szCs w:val="21"/>
                <w:shd w:val="clear" w:color="auto" w:fill="FFFFFF"/>
                <w:cs/>
              </w:rPr>
              <w:t>”</w:t>
            </w:r>
            <w:r>
              <w:rPr>
                <w:rFonts w:hint="eastAsia" w:ascii="方正仿宋简体" w:hAnsi="Arial" w:eastAsia="方正仿宋简体" w:cs="仿宋_GB2312"/>
                <w:color w:val="333333"/>
                <w:kern w:val="0"/>
                <w:szCs w:val="21"/>
                <w:shd w:val="clear" w:color="auto" w:fill="FFFFFF"/>
              </w:rPr>
              <w:t>推进机制</w:t>
            </w:r>
          </w:p>
        </w:tc>
        <w:tc>
          <w:tcPr>
            <w:tcW w:w="1405" w:type="dxa"/>
            <w:noWrap w:val="0"/>
            <w:vAlign w:val="center"/>
          </w:tcPr>
          <w:p>
            <w:pPr>
              <w:spacing w:line="300" w:lineRule="exact"/>
              <w:jc w:val="left"/>
              <w:rPr>
                <w:rFonts w:hint="eastAsia" w:ascii="方正仿宋简体" w:hAnsi="Arial" w:eastAsia="方正仿宋简体" w:cs="仿宋_GB2312"/>
                <w:color w:val="333333"/>
                <w:kern w:val="0"/>
                <w:szCs w:val="21"/>
                <w:shd w:val="clear" w:color="auto" w:fill="FFFFFF"/>
              </w:rPr>
            </w:pPr>
            <w:r>
              <w:rPr>
                <w:rFonts w:hint="eastAsia" w:ascii="方正仿宋简体" w:hAnsi="Arial" w:eastAsia="方正仿宋简体" w:cs="仿宋_GB2312"/>
                <w:color w:val="333333"/>
                <w:kern w:val="0"/>
                <w:szCs w:val="21"/>
                <w:shd w:val="clear" w:color="auto" w:fill="FFFFFF"/>
              </w:rPr>
              <w:t>在全县社区普遍实施</w:t>
            </w:r>
            <w:r>
              <w:rPr>
                <w:rFonts w:hint="cs" w:ascii="方正仿宋简体" w:hAnsi="Arial" w:eastAsia="方正仿宋简体" w:cs="仿宋_GB2312"/>
                <w:color w:val="333333"/>
                <w:kern w:val="0"/>
                <w:szCs w:val="21"/>
                <w:shd w:val="clear" w:color="auto" w:fill="FFFFFF"/>
                <w:cs/>
              </w:rPr>
              <w:t>“</w:t>
            </w:r>
            <w:r>
              <w:rPr>
                <w:rFonts w:hint="eastAsia" w:ascii="方正仿宋简体" w:hAnsi="Arial" w:eastAsia="方正仿宋简体" w:cs="仿宋_GB2312"/>
                <w:color w:val="333333"/>
                <w:kern w:val="0"/>
                <w:szCs w:val="21"/>
                <w:shd w:val="clear" w:color="auto" w:fill="FFFFFF"/>
              </w:rPr>
              <w:t>三网管理、三项治理、三个清单、三个下沉</w:t>
            </w:r>
            <w:r>
              <w:rPr>
                <w:rFonts w:hint="cs" w:ascii="方正仿宋简体" w:hAnsi="Arial" w:eastAsia="方正仿宋简体" w:cs="仿宋_GB2312"/>
                <w:color w:val="333333"/>
                <w:kern w:val="0"/>
                <w:szCs w:val="21"/>
                <w:shd w:val="clear" w:color="auto" w:fill="FFFFFF"/>
                <w:cs/>
              </w:rPr>
              <w:t>”</w:t>
            </w:r>
            <w:r>
              <w:rPr>
                <w:rFonts w:hint="eastAsia" w:ascii="方正仿宋简体" w:hAnsi="Arial" w:eastAsia="方正仿宋简体" w:cs="仿宋_GB2312"/>
                <w:color w:val="333333"/>
                <w:kern w:val="0"/>
                <w:szCs w:val="21"/>
                <w:shd w:val="clear" w:color="auto" w:fill="FFFFFF"/>
              </w:rPr>
              <w:t>为主要内容的</w:t>
            </w:r>
            <w:r>
              <w:rPr>
                <w:rFonts w:hint="cs" w:ascii="方正仿宋简体" w:hAnsi="Arial" w:eastAsia="方正仿宋简体" w:cs="仿宋_GB2312"/>
                <w:color w:val="333333"/>
                <w:kern w:val="0"/>
                <w:szCs w:val="21"/>
                <w:shd w:val="clear" w:color="auto" w:fill="FFFFFF"/>
                <w:cs/>
              </w:rPr>
              <w:t>“</w:t>
            </w:r>
            <w:r>
              <w:rPr>
                <w:rFonts w:hint="eastAsia" w:ascii="方正仿宋简体" w:hAnsi="Arial" w:eastAsia="方正仿宋简体" w:cs="仿宋_GB2312"/>
                <w:color w:val="333333"/>
                <w:kern w:val="0"/>
                <w:szCs w:val="21"/>
                <w:shd w:val="clear" w:color="auto" w:fill="FFFFFF"/>
              </w:rPr>
              <w:t>四个三</w:t>
            </w:r>
            <w:r>
              <w:rPr>
                <w:rFonts w:hint="cs" w:ascii="方正仿宋简体" w:hAnsi="Arial" w:eastAsia="方正仿宋简体" w:cs="仿宋_GB2312"/>
                <w:color w:val="333333"/>
                <w:kern w:val="0"/>
                <w:szCs w:val="21"/>
                <w:shd w:val="clear" w:color="auto" w:fill="FFFFFF"/>
                <w:cs/>
              </w:rPr>
              <w:t>”</w:t>
            </w:r>
            <w:r>
              <w:rPr>
                <w:rFonts w:hint="eastAsia" w:ascii="方正仿宋简体" w:hAnsi="Arial" w:eastAsia="方正仿宋简体" w:cs="仿宋_GB2312"/>
                <w:color w:val="333333"/>
                <w:kern w:val="0"/>
                <w:szCs w:val="21"/>
                <w:shd w:val="clear" w:color="auto" w:fill="FFFFFF"/>
              </w:rPr>
              <w:t>工作推进机制。</w:t>
            </w:r>
          </w:p>
        </w:tc>
        <w:tc>
          <w:tcPr>
            <w:tcW w:w="2520" w:type="dxa"/>
            <w:noWrap w:val="0"/>
            <w:vAlign w:val="center"/>
          </w:tcPr>
          <w:p>
            <w:pPr>
              <w:pStyle w:val="7"/>
              <w:widowControl/>
              <w:spacing w:before="0" w:beforeAutospacing="0" w:after="0" w:afterAutospacing="0" w:line="405" w:lineRule="atLeast"/>
              <w:jc w:val="center"/>
              <w:rPr>
                <w:rFonts w:hint="eastAsia"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全面推进基础治理体系和治理能力现代化，进一步巩固党的执政基础，为推进廊坊</w:t>
            </w:r>
            <w:r>
              <w:rPr>
                <w:rFonts w:hint="cs" w:ascii="方正仿宋简体" w:hAnsi="Arial" w:eastAsia="方正仿宋简体" w:cs="仿宋_GB2312"/>
                <w:color w:val="333333"/>
                <w:sz w:val="21"/>
                <w:szCs w:val="21"/>
                <w:shd w:val="clear" w:color="auto" w:fill="FFFFFF"/>
                <w:cs/>
              </w:rPr>
              <w:t>“</w:t>
            </w:r>
            <w:r>
              <w:rPr>
                <w:rFonts w:hint="eastAsia" w:ascii="方正仿宋简体" w:hAnsi="Arial" w:eastAsia="方正仿宋简体" w:cs="仿宋_GB2312"/>
                <w:color w:val="333333"/>
                <w:sz w:val="21"/>
                <w:szCs w:val="21"/>
                <w:shd w:val="clear" w:color="auto" w:fill="FFFFFF"/>
              </w:rPr>
              <w:t>四个发展</w:t>
            </w:r>
            <w:r>
              <w:rPr>
                <w:rFonts w:hint="cs" w:ascii="方正仿宋简体" w:hAnsi="Arial" w:eastAsia="方正仿宋简体" w:cs="仿宋_GB2312"/>
                <w:color w:val="333333"/>
                <w:sz w:val="21"/>
                <w:szCs w:val="21"/>
                <w:shd w:val="clear" w:color="auto" w:fill="FFFFFF"/>
                <w:cs/>
              </w:rPr>
              <w:t>”</w:t>
            </w:r>
            <w:r>
              <w:rPr>
                <w:rFonts w:hint="eastAsia" w:ascii="方正仿宋简体" w:hAnsi="Arial" w:eastAsia="方正仿宋简体" w:cs="仿宋_GB2312"/>
                <w:color w:val="333333"/>
                <w:sz w:val="21"/>
                <w:szCs w:val="21"/>
                <w:shd w:val="clear" w:color="auto" w:fill="FFFFFF"/>
              </w:rPr>
              <w:t>提供坚强的基层基础保障。</w:t>
            </w:r>
          </w:p>
        </w:tc>
        <w:tc>
          <w:tcPr>
            <w:tcW w:w="694" w:type="dxa"/>
            <w:noWrap w:val="0"/>
            <w:vAlign w:val="center"/>
          </w:tcPr>
          <w:p>
            <w:pPr>
              <w:pStyle w:val="7"/>
              <w:widowControl/>
              <w:spacing w:before="0" w:beforeAutospacing="0" w:after="0" w:afterAutospacing="0" w:line="405" w:lineRule="atLeast"/>
              <w:jc w:val="center"/>
              <w:rPr>
                <w:rFonts w:hint="eastAsia"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效果指数</w:t>
            </w:r>
          </w:p>
        </w:tc>
        <w:tc>
          <w:tcPr>
            <w:tcW w:w="1037" w:type="dxa"/>
            <w:noWrap w:val="0"/>
            <w:vAlign w:val="center"/>
          </w:tcPr>
          <w:p>
            <w:pPr>
              <w:jc w:val="center"/>
            </w:pPr>
            <w:r>
              <w:rPr>
                <w:rFonts w:hint="eastAsia" w:ascii="方正仿宋简体" w:hAnsi="Arial" w:eastAsia="方正仿宋简体" w:cs="仿宋_GB2312"/>
                <w:color w:val="333333"/>
                <w:szCs w:val="21"/>
                <w:shd w:val="clear" w:color="auto" w:fill="FFFFFF"/>
              </w:rPr>
              <w:t>√</w:t>
            </w:r>
          </w:p>
        </w:tc>
        <w:tc>
          <w:tcPr>
            <w:tcW w:w="819"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Cs w:val="24"/>
                <w:shd w:val="clear" w:color="auto" w:fill="FFFFFF"/>
              </w:rPr>
            </w:pPr>
          </w:p>
        </w:tc>
        <w:tc>
          <w:tcPr>
            <w:tcW w:w="1074"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Cs w:val="24"/>
                <w:shd w:val="clear" w:color="auto" w:fill="FFFFFF"/>
              </w:rPr>
            </w:pPr>
          </w:p>
        </w:tc>
        <w:tc>
          <w:tcPr>
            <w:tcW w:w="858"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center"/>
          </w:tcPr>
          <w:p>
            <w:pPr>
              <w:spacing w:line="300" w:lineRule="exact"/>
              <w:jc w:val="left"/>
              <w:rPr>
                <w:rFonts w:hint="eastAsia" w:ascii="方正仿宋简体" w:hAnsi="Arial" w:eastAsia="方正仿宋简体" w:cs="仿宋_GB2312"/>
                <w:color w:val="333333"/>
                <w:kern w:val="0"/>
                <w:szCs w:val="21"/>
                <w:shd w:val="clear" w:color="auto" w:fill="FFFFFF"/>
              </w:rPr>
            </w:pPr>
            <w:r>
              <w:rPr>
                <w:rFonts w:hint="eastAsia" w:ascii="方正仿宋简体" w:hAnsi="Arial" w:eastAsia="方正仿宋简体" w:cs="仿宋_GB2312"/>
                <w:color w:val="333333"/>
                <w:kern w:val="0"/>
                <w:szCs w:val="21"/>
                <w:shd w:val="clear" w:color="auto" w:fill="FFFFFF"/>
              </w:rPr>
              <w:t>县环境污染监测点楼顶保洁工作</w:t>
            </w:r>
          </w:p>
        </w:tc>
        <w:tc>
          <w:tcPr>
            <w:tcW w:w="1405" w:type="dxa"/>
            <w:noWrap w:val="0"/>
            <w:vAlign w:val="center"/>
          </w:tcPr>
          <w:p>
            <w:pPr>
              <w:spacing w:line="300" w:lineRule="exact"/>
              <w:jc w:val="left"/>
              <w:rPr>
                <w:rFonts w:hint="eastAsia" w:ascii="方正仿宋简体" w:hAnsi="Arial" w:eastAsia="方正仿宋简体" w:cs="仿宋_GB2312"/>
                <w:color w:val="333333"/>
                <w:kern w:val="0"/>
                <w:szCs w:val="21"/>
                <w:shd w:val="clear" w:color="auto" w:fill="FFFFFF"/>
              </w:rPr>
            </w:pPr>
            <w:r>
              <w:rPr>
                <w:rFonts w:hint="eastAsia" w:ascii="方正仿宋简体" w:hAnsi="Arial" w:eastAsia="方正仿宋简体" w:cs="仿宋_GB2312"/>
                <w:color w:val="333333"/>
                <w:kern w:val="0"/>
                <w:szCs w:val="21"/>
                <w:shd w:val="clear" w:color="auto" w:fill="FFFFFF"/>
              </w:rPr>
              <w:t>对博苑小区环境污染监测点楼顶进行保洁</w:t>
            </w:r>
          </w:p>
        </w:tc>
        <w:tc>
          <w:tcPr>
            <w:tcW w:w="2520" w:type="dxa"/>
            <w:noWrap w:val="0"/>
            <w:vAlign w:val="center"/>
          </w:tcPr>
          <w:p>
            <w:pPr>
              <w:spacing w:line="300" w:lineRule="exact"/>
              <w:jc w:val="left"/>
              <w:rPr>
                <w:rFonts w:hint="eastAsia" w:ascii="方正仿宋简体" w:hAnsi="Arial" w:eastAsia="方正仿宋简体" w:cs="仿宋_GB2312"/>
                <w:color w:val="333333"/>
                <w:szCs w:val="21"/>
                <w:shd w:val="clear" w:color="auto" w:fill="FFFFFF"/>
              </w:rPr>
            </w:pPr>
            <w:r>
              <w:rPr>
                <w:rFonts w:hint="eastAsia" w:ascii="方正书宋_GBK" w:eastAsia="方正书宋_GBK"/>
              </w:rPr>
              <w:t>通过对博苑小区环境污染监测点楼顶进行清扫保洁，达到抑制扬尘的目的。</w:t>
            </w:r>
          </w:p>
        </w:tc>
        <w:tc>
          <w:tcPr>
            <w:tcW w:w="694" w:type="dxa"/>
            <w:noWrap w:val="0"/>
            <w:vAlign w:val="center"/>
          </w:tcPr>
          <w:p>
            <w:pPr>
              <w:pStyle w:val="7"/>
              <w:widowControl/>
              <w:spacing w:before="0" w:beforeAutospacing="0" w:after="0" w:afterAutospacing="0" w:line="405" w:lineRule="atLeast"/>
              <w:jc w:val="center"/>
              <w:rPr>
                <w:rFonts w:hint="eastAsia" w:ascii="方正仿宋简体" w:hAnsi="Arial" w:eastAsia="方正仿宋简体" w:cs="仿宋_GB2312"/>
                <w:color w:val="333333"/>
                <w:sz w:val="21"/>
                <w:szCs w:val="21"/>
                <w:shd w:val="clear" w:color="auto" w:fill="FFFFFF"/>
              </w:rPr>
            </w:pPr>
            <w:r>
              <w:rPr>
                <w:rFonts w:hint="eastAsia" w:ascii="方正仿宋简体" w:hAnsi="Arial" w:eastAsia="方正仿宋简体" w:cs="仿宋_GB2312"/>
                <w:color w:val="333333"/>
                <w:sz w:val="21"/>
                <w:szCs w:val="21"/>
                <w:shd w:val="clear" w:color="auto" w:fill="FFFFFF"/>
              </w:rPr>
              <w:t>效果指数</w:t>
            </w:r>
          </w:p>
        </w:tc>
        <w:tc>
          <w:tcPr>
            <w:tcW w:w="1037" w:type="dxa"/>
            <w:noWrap w:val="0"/>
            <w:vAlign w:val="center"/>
          </w:tcPr>
          <w:p>
            <w:pPr>
              <w:jc w:val="center"/>
              <w:rPr>
                <w:rFonts w:hint="eastAsia" w:ascii="方正仿宋简体" w:hAnsi="Arial" w:eastAsia="方正仿宋简体" w:cs="仿宋_GB2312"/>
                <w:color w:val="333333"/>
                <w:szCs w:val="21"/>
                <w:shd w:val="clear" w:color="auto" w:fill="FFFFFF"/>
              </w:rPr>
            </w:pPr>
            <w:r>
              <w:rPr>
                <w:rFonts w:hint="eastAsia" w:ascii="方正仿宋简体" w:hAnsi="Arial" w:eastAsia="方正仿宋简体" w:cs="仿宋_GB2312"/>
                <w:color w:val="333333"/>
                <w:szCs w:val="21"/>
                <w:shd w:val="clear" w:color="auto" w:fill="FFFFFF"/>
              </w:rPr>
              <w:t>√</w:t>
            </w:r>
          </w:p>
        </w:tc>
        <w:tc>
          <w:tcPr>
            <w:tcW w:w="819"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Cs w:val="24"/>
                <w:shd w:val="clear" w:color="auto" w:fill="FFFFFF"/>
              </w:rPr>
            </w:pPr>
          </w:p>
        </w:tc>
        <w:tc>
          <w:tcPr>
            <w:tcW w:w="1074"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Cs w:val="24"/>
                <w:shd w:val="clear" w:color="auto" w:fill="FFFFFF"/>
              </w:rPr>
            </w:pPr>
          </w:p>
        </w:tc>
        <w:tc>
          <w:tcPr>
            <w:tcW w:w="858"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Cs w:val="24"/>
                <w:shd w:val="clear" w:color="auto" w:fill="FFFFFF"/>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noWrap w:val="0"/>
            <w:vAlign w:val="center"/>
          </w:tcPr>
          <w:p>
            <w:pPr>
              <w:spacing w:line="300" w:lineRule="exact"/>
              <w:jc w:val="left"/>
              <w:rPr>
                <w:rFonts w:hint="eastAsia" w:ascii="方正仿宋简体" w:hAnsi="Arial" w:eastAsia="方正仿宋简体" w:cs="仿宋_GB2312"/>
                <w:color w:val="333333"/>
                <w:kern w:val="0"/>
                <w:szCs w:val="21"/>
                <w:shd w:val="clear" w:color="auto" w:fill="FFFFFF"/>
              </w:rPr>
            </w:pPr>
            <w:r>
              <w:rPr>
                <w:rFonts w:hint="eastAsia" w:ascii="方正仿宋简体" w:hAnsi="Arial" w:eastAsia="方正仿宋简体" w:cs="仿宋_GB2312"/>
                <w:color w:val="333333"/>
                <w:kern w:val="0"/>
                <w:szCs w:val="21"/>
                <w:shd w:val="clear" w:color="auto" w:fill="FFFFFF"/>
              </w:rPr>
              <w:t>　　县环境污染监测点楼顶保洁工作</w:t>
            </w:r>
          </w:p>
        </w:tc>
        <w:tc>
          <w:tcPr>
            <w:tcW w:w="1405" w:type="dxa"/>
            <w:noWrap w:val="0"/>
            <w:vAlign w:val="center"/>
          </w:tcPr>
          <w:p>
            <w:pPr>
              <w:spacing w:line="300" w:lineRule="exact"/>
              <w:jc w:val="left"/>
              <w:rPr>
                <w:rFonts w:hint="eastAsia" w:ascii="方正仿宋简体" w:hAnsi="Arial" w:eastAsia="方正仿宋简体" w:cs="仿宋_GB2312"/>
                <w:color w:val="333333"/>
                <w:kern w:val="0"/>
                <w:szCs w:val="21"/>
                <w:shd w:val="clear" w:color="auto" w:fill="FFFFFF"/>
              </w:rPr>
            </w:pPr>
            <w:r>
              <w:rPr>
                <w:rFonts w:hint="eastAsia" w:ascii="方正仿宋简体" w:hAnsi="Arial" w:eastAsia="方正仿宋简体" w:cs="仿宋_GB2312"/>
                <w:color w:val="333333"/>
                <w:kern w:val="0"/>
                <w:szCs w:val="21"/>
                <w:shd w:val="clear" w:color="auto" w:fill="FFFFFF"/>
              </w:rPr>
              <w:t>通过对博苑小区环境污染监测点楼顶进行清扫保洁，达到抑制扬尘的目的。</w:t>
            </w:r>
          </w:p>
        </w:tc>
        <w:tc>
          <w:tcPr>
            <w:tcW w:w="2520" w:type="dxa"/>
            <w:noWrap w:val="0"/>
            <w:vAlign w:val="center"/>
          </w:tcPr>
          <w:p>
            <w:pPr>
              <w:spacing w:line="300" w:lineRule="exact"/>
              <w:jc w:val="left"/>
              <w:rPr>
                <w:rFonts w:hint="eastAsia" w:ascii="方正仿宋简体" w:hAnsi="Arial" w:eastAsia="方正仿宋简体" w:cs="仿宋_GB2312"/>
                <w:color w:val="333333"/>
                <w:szCs w:val="21"/>
                <w:shd w:val="clear" w:color="auto" w:fill="FFFFFF"/>
              </w:rPr>
            </w:pPr>
            <w:r>
              <w:rPr>
                <w:rFonts w:hint="eastAsia" w:ascii="方正书宋_GBK" w:eastAsia="方正书宋_GBK"/>
              </w:rPr>
              <w:t>通过对博苑小区环境污染监测点楼顶进行清扫保洁，达到抑制扬尘的目的。</w:t>
            </w:r>
          </w:p>
        </w:tc>
        <w:tc>
          <w:tcPr>
            <w:tcW w:w="694" w:type="dxa"/>
            <w:noWrap w:val="0"/>
            <w:vAlign w:val="center"/>
          </w:tcPr>
          <w:p>
            <w:pPr>
              <w:spacing w:line="300" w:lineRule="exact"/>
              <w:jc w:val="center"/>
              <w:rPr>
                <w:rFonts w:hint="eastAsia" w:ascii="方正仿宋简体" w:hAnsi="Arial" w:eastAsia="方正仿宋简体" w:cs="仿宋_GB2312"/>
                <w:color w:val="333333"/>
                <w:szCs w:val="21"/>
                <w:shd w:val="clear" w:color="auto" w:fill="FFFFFF"/>
              </w:rPr>
            </w:pPr>
            <w:r>
              <w:rPr>
                <w:rFonts w:hint="eastAsia" w:ascii="方正书宋_GBK" w:eastAsia="方正书宋_GBK"/>
              </w:rPr>
              <w:t>效果指数</w:t>
            </w:r>
          </w:p>
        </w:tc>
        <w:tc>
          <w:tcPr>
            <w:tcW w:w="1037" w:type="dxa"/>
            <w:noWrap w:val="0"/>
            <w:vAlign w:val="center"/>
          </w:tcPr>
          <w:p>
            <w:pPr>
              <w:jc w:val="center"/>
              <w:rPr>
                <w:rFonts w:hint="eastAsia" w:ascii="方正仿宋简体" w:hAnsi="Arial" w:eastAsia="方正仿宋简体" w:cs="仿宋_GB2312"/>
                <w:color w:val="333333"/>
                <w:szCs w:val="21"/>
                <w:shd w:val="clear" w:color="auto" w:fill="FFFFFF"/>
              </w:rPr>
            </w:pPr>
            <w:r>
              <w:rPr>
                <w:rFonts w:hint="eastAsia" w:ascii="方正仿宋简体" w:hAnsi="Arial" w:eastAsia="方正仿宋简体" w:cs="仿宋_GB2312"/>
                <w:color w:val="333333"/>
                <w:szCs w:val="21"/>
                <w:shd w:val="clear" w:color="auto" w:fill="FFFFFF"/>
              </w:rPr>
              <w:t>√</w:t>
            </w:r>
          </w:p>
        </w:tc>
        <w:tc>
          <w:tcPr>
            <w:tcW w:w="819"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Cs w:val="24"/>
                <w:shd w:val="clear" w:color="auto" w:fill="FFFFFF"/>
              </w:rPr>
            </w:pPr>
          </w:p>
        </w:tc>
        <w:tc>
          <w:tcPr>
            <w:tcW w:w="1074"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Cs w:val="24"/>
                <w:shd w:val="clear" w:color="auto" w:fill="FFFFFF"/>
              </w:rPr>
            </w:pPr>
          </w:p>
        </w:tc>
        <w:tc>
          <w:tcPr>
            <w:tcW w:w="858" w:type="dxa"/>
            <w:noWrap w:val="0"/>
            <w:vAlign w:val="center"/>
          </w:tcPr>
          <w:p>
            <w:pPr>
              <w:pStyle w:val="7"/>
              <w:widowControl/>
              <w:spacing w:before="0" w:beforeAutospacing="0" w:after="0" w:afterAutospacing="0" w:line="405" w:lineRule="atLeast"/>
              <w:jc w:val="center"/>
              <w:rPr>
                <w:rFonts w:hint="eastAsia" w:ascii="方正仿宋简体" w:hAnsi="宋体" w:eastAsia="方正仿宋简体" w:cs="仿宋_GB2312"/>
                <w:b/>
                <w:color w:val="333333"/>
                <w:szCs w:val="24"/>
                <w:shd w:val="clear" w:color="auto" w:fill="FFFFFF"/>
              </w:rPr>
            </w:pPr>
          </w:p>
        </w:tc>
      </w:tr>
    </w:tbl>
    <w:p>
      <w:pPr>
        <w:pStyle w:val="7"/>
        <w:widowControl/>
        <w:shd w:val="clear" w:color="auto" w:fill="FFFFFF"/>
        <w:spacing w:before="0" w:beforeAutospacing="0" w:after="0" w:afterAutospacing="0" w:line="405" w:lineRule="atLeast"/>
        <w:rPr>
          <w:rFonts w:hint="eastAsia" w:ascii="方正仿宋简体" w:hAnsi="宋体" w:eastAsia="方正仿宋简体" w:cs="仿宋_GB2312"/>
          <w:b/>
          <w:color w:val="333333"/>
          <w:sz w:val="21"/>
          <w:szCs w:val="21"/>
          <w:shd w:val="clear" w:color="auto" w:fill="FFFFFF"/>
        </w:rPr>
      </w:pPr>
    </w:p>
    <w:p>
      <w:pPr>
        <w:pStyle w:val="7"/>
        <w:widowControl/>
        <w:shd w:val="clear" w:color="auto" w:fill="FFFFFF"/>
        <w:spacing w:before="0" w:beforeAutospacing="0" w:after="0" w:afterAutospacing="0" w:line="405" w:lineRule="atLeast"/>
        <w:rPr>
          <w:rFonts w:ascii="方正仿宋简体" w:hAnsi="宋体" w:eastAsia="方正仿宋简体" w:cs="仿宋_GB2312"/>
          <w:b/>
          <w:color w:val="333333"/>
          <w:sz w:val="21"/>
          <w:szCs w:val="21"/>
          <w:shd w:val="clear" w:color="auto" w:fill="FFFFFF"/>
        </w:rPr>
      </w:pPr>
      <w:r>
        <w:rPr>
          <w:rFonts w:hint="eastAsia" w:ascii="方正仿宋简体" w:hAnsi="宋体" w:eastAsia="方正仿宋简体" w:cs="仿宋_GB2312"/>
          <w:b/>
          <w:color w:val="333333"/>
          <w:sz w:val="21"/>
          <w:szCs w:val="21"/>
          <w:shd w:val="clear" w:color="auto" w:fill="FFFFFF"/>
        </w:rPr>
        <w:t xml:space="preserve">                                                        </w:t>
      </w:r>
    </w:p>
    <w:p>
      <w:pPr>
        <w:pStyle w:val="3"/>
        <w:spacing w:before="0" w:after="0" w:line="580" w:lineRule="exact"/>
        <w:ind w:firstLine="640" w:firstLineChars="200"/>
        <w:rPr>
          <w:rFonts w:hint="eastAsia" w:ascii="黑体" w:eastAsia="黑体"/>
          <w:b w:val="0"/>
          <w:bCs w:val="0"/>
        </w:rPr>
      </w:pPr>
      <w:r>
        <w:rPr>
          <w:rFonts w:hint="eastAsia" w:ascii="黑体" w:eastAsia="黑体"/>
          <w:b w:val="0"/>
          <w:bCs w:val="0"/>
          <w:lang w:val="en-US" w:eastAsia="zh-CN"/>
        </w:rPr>
        <w:t>七、</w:t>
      </w:r>
      <w:r>
        <w:rPr>
          <w:rFonts w:hint="eastAsia" w:ascii="黑体" w:eastAsia="黑体"/>
          <w:b w:val="0"/>
          <w:bCs w:val="0"/>
        </w:rPr>
        <w:t>其他重要事项的说明</w:t>
      </w:r>
    </w:p>
    <w:p>
      <w:pPr>
        <w:numPr>
          <w:ilvl w:val="0"/>
          <w:numId w:val="2"/>
        </w:numPr>
        <w:ind w:left="630" w:leftChars="0" w:firstLine="0" w:firstLineChars="0"/>
        <w:rPr>
          <w:rFonts w:hint="eastAsia" w:ascii="楷体_GB2312" w:eastAsia="楷体_GB2312" w:cs="DengXian-Bold"/>
          <w:b/>
          <w:bCs/>
          <w:kern w:val="2"/>
          <w:sz w:val="32"/>
          <w:szCs w:val="32"/>
          <w:lang w:val="en-US" w:eastAsia="zh-CN" w:bidi="ar-SA"/>
        </w:rPr>
      </w:pPr>
      <w:r>
        <w:rPr>
          <w:rFonts w:hint="eastAsia" w:ascii="楷体_GB2312" w:eastAsia="楷体_GB2312" w:cs="DengXian-Bold"/>
          <w:b/>
          <w:bCs/>
          <w:kern w:val="2"/>
          <w:sz w:val="32"/>
          <w:szCs w:val="32"/>
          <w:lang w:val="en-US" w:eastAsia="zh-CN" w:bidi="ar-SA"/>
        </w:rPr>
        <w:t>机关运行经费情况</w:t>
      </w:r>
    </w:p>
    <w:p>
      <w:pPr>
        <w:spacing w:line="584" w:lineRule="exact"/>
        <w:ind w:firstLine="640" w:firstLineChars="200"/>
        <w:rPr>
          <w:rFonts w:hint="default" w:ascii="仿宋_GB2312" w:eastAsia="仿宋_GB2312" w:cs="DengXian-Regular"/>
          <w:sz w:val="32"/>
          <w:szCs w:val="32"/>
          <w:lang w:val="en-US" w:eastAsia="zh-CN"/>
        </w:rPr>
      </w:pPr>
      <w:r>
        <w:rPr>
          <w:rFonts w:hint="eastAsia" w:ascii="仿宋_GB2312" w:eastAsia="仿宋_GB2312" w:cs="DengXian-Regular"/>
          <w:sz w:val="32"/>
          <w:szCs w:val="32"/>
          <w:lang w:val="en-US" w:eastAsia="zh-CN"/>
        </w:rPr>
        <w:t>本部门2018年度机关运行经费支出0万元，比年初预算数增加0万元，增长0%。较2017年度决算增加0万元，增长0%。（本部门为事业单位，无机关运行经费）</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w:t>
      </w:r>
      <w:r>
        <w:rPr>
          <w:rFonts w:hint="eastAsia" w:ascii="楷体_GB2312" w:eastAsia="楷体_GB2312" w:cs="DengXian-Bold"/>
          <w:lang w:val="en-US" w:eastAsia="zh-CN"/>
        </w:rPr>
        <w:t>二</w:t>
      </w:r>
      <w:r>
        <w:rPr>
          <w:rFonts w:hint="eastAsia" w:ascii="楷体_GB2312" w:eastAsia="楷体_GB2312" w:cs="DengXian-Bold"/>
        </w:rPr>
        <w:t>）政府采购情况</w:t>
      </w:r>
    </w:p>
    <w:p>
      <w:pPr>
        <w:pStyle w:val="4"/>
        <w:spacing w:before="0" w:after="0" w:line="580" w:lineRule="exact"/>
        <w:ind w:firstLine="640" w:firstLineChars="200"/>
        <w:rPr>
          <w:rFonts w:hint="default" w:ascii="仿宋_GB2312" w:hAnsi="Calibri" w:eastAsia="仿宋_GB2312" w:cs="DengXian-Regular"/>
          <w:b w:val="0"/>
          <w:bCs w:val="0"/>
          <w:kern w:val="2"/>
          <w:sz w:val="32"/>
          <w:szCs w:val="32"/>
          <w:lang w:val="en-US" w:eastAsia="zh-CN" w:bidi="ar-SA"/>
        </w:rPr>
      </w:pPr>
      <w:r>
        <w:rPr>
          <w:rFonts w:hint="eastAsia" w:ascii="仿宋_GB2312" w:hAnsi="Calibri" w:eastAsia="仿宋_GB2312" w:cs="DengXian-Regular"/>
          <w:b w:val="0"/>
          <w:bCs w:val="0"/>
          <w:kern w:val="2"/>
          <w:sz w:val="32"/>
          <w:szCs w:val="32"/>
          <w:lang w:val="en-US" w:eastAsia="zh-CN" w:bidi="ar-SA"/>
        </w:rPr>
        <w:t>本部门2018年度</w:t>
      </w:r>
      <w:r>
        <w:rPr>
          <w:rFonts w:hint="eastAsia" w:ascii="仿宋_GB2312" w:eastAsia="仿宋_GB2312" w:cs="DengXian-Regular"/>
          <w:b w:val="0"/>
          <w:bCs w:val="0"/>
          <w:kern w:val="2"/>
          <w:sz w:val="32"/>
          <w:szCs w:val="32"/>
          <w:lang w:val="en-US" w:eastAsia="zh-CN" w:bidi="ar-SA"/>
        </w:rPr>
        <w:t>政府采购支出总额0万元，从采购类型来看，政府采购货物支出0万元、政府采购工程支出0万元、政府采购服务支出0万元。授予中小企业合同金0万元，占政府采购支出总额的0%，其中授予小微企业合同金额0万元，占政府采购支出总额的0%。</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w:t>
      </w:r>
      <w:r>
        <w:rPr>
          <w:rFonts w:hint="eastAsia" w:ascii="楷体_GB2312" w:eastAsia="楷体_GB2312" w:cs="DengXian-Bold"/>
          <w:lang w:val="en-US" w:eastAsia="zh-CN"/>
        </w:rPr>
        <w:t>三</w:t>
      </w:r>
      <w:r>
        <w:rPr>
          <w:rFonts w:hint="eastAsia" w:ascii="楷体_GB2312" w:eastAsia="楷体_GB2312" w:cs="DengXian-Bold"/>
        </w:rPr>
        <w:t>）国有资产占用情况</w:t>
      </w:r>
    </w:p>
    <w:p>
      <w:pPr>
        <w:spacing w:line="584"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截至2018年12月31日，本部门共有车辆</w:t>
      </w:r>
      <w:r>
        <w:rPr>
          <w:rFonts w:hint="eastAsia" w:ascii="仿宋_GB2312" w:eastAsia="仿宋_GB2312" w:cs="DengXian-Regular"/>
          <w:sz w:val="32"/>
          <w:szCs w:val="32"/>
          <w:lang w:val="en-US" w:eastAsia="zh-CN"/>
        </w:rPr>
        <w:t>2</w:t>
      </w:r>
      <w:r>
        <w:rPr>
          <w:rFonts w:hint="eastAsia" w:ascii="仿宋_GB2312" w:eastAsia="仿宋_GB2312" w:cs="DengXian-Regular"/>
          <w:sz w:val="32"/>
          <w:szCs w:val="32"/>
        </w:rPr>
        <w:t>辆，</w:t>
      </w:r>
      <w:r>
        <w:rPr>
          <w:rFonts w:hint="eastAsia" w:ascii="仿宋_GB2312" w:eastAsia="仿宋_GB2312" w:cs="DengXian-Regular"/>
          <w:sz w:val="32"/>
          <w:szCs w:val="32"/>
          <w:lang w:val="en-US" w:eastAsia="zh-CN"/>
        </w:rPr>
        <w:t>较</w:t>
      </w:r>
      <w:r>
        <w:rPr>
          <w:rFonts w:hint="eastAsia" w:ascii="仿宋_GB2312" w:eastAsia="仿宋_GB2312" w:cs="DengXian-Regular"/>
          <w:sz w:val="32"/>
          <w:szCs w:val="32"/>
        </w:rPr>
        <w:t>上年</w:t>
      </w:r>
      <w:r>
        <w:rPr>
          <w:rFonts w:hint="eastAsia" w:ascii="仿宋_GB2312" w:eastAsia="仿宋_GB2312" w:cs="DengXian-Regular"/>
          <w:sz w:val="32"/>
          <w:szCs w:val="32"/>
          <w:lang w:val="en-US" w:eastAsia="zh-CN"/>
        </w:rPr>
        <w:t>增加0辆</w:t>
      </w:r>
      <w:r>
        <w:rPr>
          <w:rFonts w:hint="eastAsia" w:ascii="仿宋_GB2312" w:eastAsia="仿宋_GB2312" w:cs="DengXian-Regular"/>
          <w:sz w:val="32"/>
          <w:szCs w:val="32"/>
          <w:lang w:eastAsia="zh-CN"/>
        </w:rPr>
        <w:t>。</w:t>
      </w:r>
      <w:r>
        <w:rPr>
          <w:rFonts w:hint="eastAsia" w:ascii="仿宋_GB2312" w:eastAsia="仿宋_GB2312" w:cs="DengXian-Regular"/>
          <w:sz w:val="32"/>
          <w:szCs w:val="32"/>
          <w:lang w:val="en-US" w:eastAsia="zh-CN"/>
        </w:rPr>
        <w:t>其中，副部（省）级及以上领导用车0辆，主要领导干部用车0辆，机要通讯用车0辆，应急保障用车0辆，执法执勤用车0辆，特种专业技术用车0辆，离退休干部用车0辆，其他用车2辆，其他用车</w:t>
      </w:r>
      <w:bookmarkStart w:id="0" w:name="_GoBack"/>
      <w:bookmarkEnd w:id="0"/>
      <w:r>
        <w:rPr>
          <w:rFonts w:hint="eastAsia" w:ascii="仿宋_GB2312" w:eastAsia="仿宋_GB2312" w:cs="DengXian-Regular"/>
          <w:sz w:val="32"/>
          <w:szCs w:val="32"/>
          <w:lang w:eastAsia="zh-CN"/>
        </w:rPr>
        <w:t>皆为一般公务用车。</w:t>
      </w:r>
    </w:p>
    <w:p>
      <w:pPr>
        <w:pStyle w:val="4"/>
        <w:spacing w:before="0" w:after="0" w:line="580" w:lineRule="exact"/>
        <w:ind w:firstLine="643" w:firstLineChars="200"/>
        <w:rPr>
          <w:rFonts w:ascii="楷体_GB2312" w:eastAsia="楷体_GB2312" w:cs="DengXian-Bold"/>
        </w:rPr>
      </w:pPr>
      <w:r>
        <w:rPr>
          <w:rFonts w:hint="eastAsia" w:ascii="楷体_GB2312" w:eastAsia="楷体_GB2312" w:cs="DengXian-Bold"/>
        </w:rPr>
        <w:t>（</w:t>
      </w:r>
      <w:r>
        <w:rPr>
          <w:rFonts w:hint="eastAsia" w:ascii="楷体_GB2312" w:eastAsia="楷体_GB2312" w:cs="DengXian-Bold"/>
          <w:lang w:val="en-US" w:eastAsia="zh-CN"/>
        </w:rPr>
        <w:t>四</w:t>
      </w:r>
      <w:r>
        <w:rPr>
          <w:rFonts w:hint="eastAsia" w:ascii="楷体_GB2312" w:eastAsia="楷体_GB2312" w:cs="DengXian-Bold"/>
        </w:rPr>
        <w:t>）其他需要说明的情况</w:t>
      </w:r>
    </w:p>
    <w:p>
      <w:pPr>
        <w:adjustRightInd w:val="0"/>
        <w:snapToGrid w:val="0"/>
        <w:spacing w:after="0" w:line="580" w:lineRule="exact"/>
        <w:ind w:firstLine="640" w:firstLineChars="200"/>
        <w:rPr>
          <w:rFonts w:hint="eastAsia" w:ascii="仿宋_GB2312" w:eastAsia="仿宋_GB2312" w:cs="DengXian-Regular"/>
          <w:sz w:val="32"/>
          <w:szCs w:val="32"/>
        </w:rPr>
      </w:pPr>
      <w:r>
        <w:rPr>
          <w:rFonts w:hint="eastAsia" w:ascii="仿宋_GB2312" w:eastAsia="仿宋_GB2312" w:cs="DengXian-Regular"/>
          <w:sz w:val="32"/>
          <w:szCs w:val="32"/>
        </w:rPr>
        <w:t>由于决算公开表格中金额数值应当保留两位小数，公开数据为四舍五入计算结果，个别数据合计项与分项之和存在小数点后差额，特此说明。</w:t>
      </w:r>
    </w:p>
    <w:p>
      <w:pPr>
        <w:widowControl/>
        <w:numPr>
          <w:ilvl w:val="0"/>
          <w:numId w:val="0"/>
        </w:numPr>
        <w:spacing w:line="584" w:lineRule="exact"/>
        <w:jc w:val="left"/>
        <w:rPr>
          <w:rFonts w:hint="eastAsia" w:eastAsia="黑体" w:cs="Times New Roman"/>
          <w:sz w:val="32"/>
          <w:szCs w:val="32"/>
          <w:lang w:eastAsia="zh-CN"/>
        </w:rPr>
      </w:pPr>
    </w:p>
    <w:p>
      <w:pPr>
        <w:widowControl/>
        <w:numPr>
          <w:ilvl w:val="0"/>
          <w:numId w:val="3"/>
        </w:numPr>
        <w:spacing w:line="584" w:lineRule="exact"/>
        <w:jc w:val="left"/>
        <w:rPr>
          <w:rFonts w:hint="eastAsia" w:eastAsia="黑体" w:cs="Times New Roman"/>
          <w:sz w:val="32"/>
          <w:szCs w:val="32"/>
          <w:lang w:eastAsia="zh-CN"/>
        </w:rPr>
      </w:pPr>
      <w:r>
        <w:rPr>
          <w:rFonts w:hint="eastAsia" w:eastAsia="黑体" w:cs="Times New Roman"/>
          <w:sz w:val="32"/>
          <w:szCs w:val="32"/>
          <w:lang w:eastAsia="zh-CN"/>
        </w:rPr>
        <w:t>名词解</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（一）财政拨款收入：</w:t>
      </w:r>
      <w:r>
        <w:rPr>
          <w:rFonts w:hint="eastAsia" w:ascii="仿宋_GB2312" w:eastAsia="仿宋_GB2312" w:hAnsiTheme="majorEastAsia"/>
          <w:color w:val="000000"/>
          <w:kern w:val="0"/>
          <w:sz w:val="32"/>
          <w:szCs w:val="32"/>
        </w:rPr>
        <w:t>本年度从本级财政部门取得的财政拨款，包括一般公共预算财政拨款和政府性基金预算财政拨款。</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（二）事业收入：</w:t>
      </w:r>
      <w:r>
        <w:rPr>
          <w:rFonts w:hint="eastAsia" w:ascii="仿宋_GB2312" w:eastAsia="仿宋_GB2312" w:hAnsiTheme="majorEastAsia"/>
          <w:color w:val="000000"/>
          <w:kern w:val="0"/>
          <w:sz w:val="32"/>
          <w:szCs w:val="32"/>
        </w:rPr>
        <w:t>指事业单位开展专业业务活动及辅助活动所取得的收入。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（三）其他收入：</w:t>
      </w:r>
      <w:r>
        <w:rPr>
          <w:rFonts w:hint="eastAsia" w:ascii="仿宋_GB2312" w:eastAsia="仿宋_GB2312" w:hAnsiTheme="majorEastAsia"/>
          <w:color w:val="000000"/>
          <w:kern w:val="0"/>
          <w:sz w:val="32"/>
          <w:szCs w:val="32"/>
        </w:rPr>
        <w:t>指除上述“财政拨款收入”“事业收入”“经营收入”等以外的收入。</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（四）用事业基金弥补收支差额：</w:t>
      </w:r>
      <w:r>
        <w:rPr>
          <w:rFonts w:hint="eastAsia" w:ascii="仿宋_GB2312" w:eastAsia="仿宋_GB2312" w:hAnsiTheme="major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（五）年初结转和结余：</w:t>
      </w:r>
      <w:r>
        <w:rPr>
          <w:rFonts w:hint="eastAsia" w:ascii="仿宋_GB2312" w:eastAsia="仿宋_GB2312" w:hAnsiTheme="majorEastAsia"/>
          <w:color w:val="000000"/>
          <w:kern w:val="0"/>
          <w:sz w:val="32"/>
          <w:szCs w:val="32"/>
        </w:rPr>
        <w:t>指以前年度尚未完成、结转到本年仍按原规定用途继续使用的资金，或项目已完成等产生的结余资金。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（六）结余分配：</w:t>
      </w:r>
      <w:r>
        <w:rPr>
          <w:rFonts w:hint="eastAsia" w:ascii="仿宋_GB2312" w:eastAsia="仿宋_GB2312" w:hAnsiTheme="majorEastAsia"/>
          <w:color w:val="000000"/>
          <w:kern w:val="0"/>
          <w:sz w:val="32"/>
          <w:szCs w:val="32"/>
        </w:rPr>
        <w:t>指事业单位按照事业单位会计制度的规定从非财政补助结余中分配的事业基金和职工福利基金等。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（七）年末结转和结余：</w:t>
      </w:r>
      <w:r>
        <w:rPr>
          <w:rFonts w:hint="eastAsia" w:ascii="仿宋_GB2312" w:eastAsia="仿宋_GB2312" w:hAnsiTheme="majorEastAsia"/>
          <w:color w:val="000000"/>
          <w:kern w:val="0"/>
          <w:sz w:val="32"/>
          <w:szCs w:val="32"/>
        </w:rPr>
        <w:t>指单位按有关规定结转到下年或以后年度继续使用的资金，或项目已完成等产生的结余资金。</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（八）基本支出：</w:t>
      </w:r>
      <w:r>
        <w:rPr>
          <w:rFonts w:hint="eastAsia" w:ascii="仿宋_GB2312" w:eastAsia="仿宋_GB2312" w:hAnsiTheme="majorEastAsia"/>
          <w:color w:val="000000"/>
          <w:kern w:val="0"/>
          <w:sz w:val="32"/>
          <w:szCs w:val="32"/>
        </w:rPr>
        <w:t>填列单位为保障机构正常运转、完成日常工作任务而发生的各项支出。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（九）项目支出：</w:t>
      </w:r>
      <w:r>
        <w:rPr>
          <w:rFonts w:hint="eastAsia" w:ascii="仿宋_GB2312" w:eastAsia="仿宋_GB2312" w:hAnsiTheme="majorEastAsia"/>
          <w:color w:val="000000"/>
          <w:kern w:val="0"/>
          <w:sz w:val="32"/>
          <w:szCs w:val="32"/>
        </w:rPr>
        <w:t>填列单位为完成特定的行政工作任务或事业发展目标，在基本支出之外发生的各项支出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（十）资本性支出（基本建设）：</w:t>
      </w:r>
      <w:r>
        <w:rPr>
          <w:rFonts w:hint="eastAsia" w:ascii="仿宋_GB2312" w:eastAsia="仿宋_GB2312" w:hAnsiTheme="majorEastAsia"/>
          <w:color w:val="000000"/>
          <w:kern w:val="0"/>
          <w:sz w:val="32"/>
          <w:szCs w:val="32"/>
        </w:rPr>
        <w:t>填列切块由发展改革部门安排的基本建设支出，对企业补助支出不在此科目反映。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（十一）资本性支出：</w:t>
      </w:r>
      <w:r>
        <w:rPr>
          <w:rFonts w:hint="eastAsia" w:ascii="仿宋_GB2312" w:eastAsia="仿宋_GB2312" w:hAnsiTheme="majorEastAsia"/>
          <w:color w:val="000000"/>
          <w:kern w:val="0"/>
          <w:sz w:val="32"/>
          <w:szCs w:val="32"/>
        </w:rPr>
        <w:t>填列各单位安排的资本性支出。切块由发展改革部门安排的基本建设支出不在此科目反映。</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（十二）“三公”经费：</w:t>
      </w:r>
      <w:r>
        <w:rPr>
          <w:rFonts w:hint="eastAsia" w:ascii="仿宋_GB2312" w:eastAsia="仿宋_GB2312" w:hAnsiTheme="major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租用费、燃料费、维修费、过路过桥费、保险费、安全奖励费用等支出；公务接待费反映单位按规定开支的各类公务接待（含外宾接待）支出。</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（十三）其他交通费用：</w:t>
      </w:r>
      <w:r>
        <w:rPr>
          <w:rFonts w:hint="eastAsia" w:ascii="仿宋_GB2312" w:eastAsia="仿宋_GB2312" w:hAnsiTheme="majorEastAsia"/>
          <w:color w:val="000000"/>
          <w:kern w:val="0"/>
          <w:sz w:val="32"/>
          <w:szCs w:val="32"/>
        </w:rPr>
        <w:t>填列单位除公务用车运行维护费以外的其他交通费用。如公务交通补贴、租车费用、出租车费用、飞机、船舶等的燃料费、维修费、保险费等。</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（十四）公务用车购置：</w:t>
      </w:r>
      <w:r>
        <w:rPr>
          <w:rFonts w:hint="eastAsia" w:ascii="仿宋_GB2312" w:eastAsia="仿宋_GB2312" w:hAnsiTheme="majorEastAsia"/>
          <w:color w:val="000000"/>
          <w:kern w:val="0"/>
          <w:sz w:val="32"/>
          <w:szCs w:val="32"/>
        </w:rPr>
        <w:t>填列单位公务用车购置支出（含车辆购置税、牌照费）。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（十五）其他交通工具购置：</w:t>
      </w:r>
      <w:r>
        <w:rPr>
          <w:rFonts w:hint="eastAsia" w:ascii="仿宋_GB2312" w:eastAsia="仿宋_GB2312" w:hAnsiTheme="majorEastAsia"/>
          <w:color w:val="000000"/>
          <w:kern w:val="0"/>
          <w:sz w:val="32"/>
          <w:szCs w:val="32"/>
        </w:rPr>
        <w:t>填列单位除公务用车外的其他各类交通工具（如船舶、飞机）购置支出（含车辆购置税、牌照费）。</w:t>
      </w:r>
    </w:p>
    <w:p>
      <w:pPr>
        <w:widowControl/>
        <w:spacing w:after="0" w:line="560" w:lineRule="exact"/>
        <w:ind w:firstLine="643" w:firstLineChars="200"/>
        <w:rPr>
          <w:rFonts w:ascii="仿宋_GB2312" w:eastAsia="仿宋_GB2312" w:hAnsiTheme="majorEastAsia"/>
          <w:color w:val="000000"/>
          <w:kern w:val="0"/>
          <w:sz w:val="32"/>
          <w:szCs w:val="32"/>
        </w:rPr>
      </w:pPr>
      <w:r>
        <w:rPr>
          <w:rFonts w:hint="eastAsia" w:ascii="仿宋_GB2312" w:eastAsia="仿宋_GB2312" w:hAnsiTheme="majorEastAsia"/>
          <w:b/>
          <w:bCs/>
          <w:color w:val="000000"/>
          <w:kern w:val="0"/>
          <w:sz w:val="32"/>
          <w:szCs w:val="32"/>
        </w:rPr>
        <w:t>（十六）机关运行经费：</w:t>
      </w:r>
      <w:r>
        <w:rPr>
          <w:rFonts w:hint="eastAsia" w:ascii="仿宋_GB2312" w:eastAsia="仿宋_GB2312" w:hAnsiTheme="major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widowControl/>
        <w:spacing w:after="0" w:line="560" w:lineRule="exact"/>
        <w:ind w:firstLine="643" w:firstLineChars="200"/>
        <w:rPr>
          <w:rFonts w:ascii="仿宋_GB2312" w:eastAsia="仿宋_GB2312" w:cs="ArialUnicodeMS" w:hAnsiTheme="minorHAnsi"/>
          <w:kern w:val="0"/>
          <w:sz w:val="32"/>
          <w:szCs w:val="32"/>
        </w:rPr>
      </w:pPr>
      <w:r>
        <w:rPr>
          <w:rFonts w:hint="eastAsia" w:ascii="仿宋_GB2312" w:eastAsia="仿宋_GB2312" w:hAnsiTheme="majorEastAsia"/>
          <w:b/>
          <w:bCs/>
          <w:color w:val="000000"/>
          <w:kern w:val="0"/>
          <w:sz w:val="32"/>
          <w:szCs w:val="32"/>
        </w:rPr>
        <w:t>（十七）经费形式:</w:t>
      </w:r>
      <w:r>
        <w:rPr>
          <w:rFonts w:hint="eastAsia" w:ascii="仿宋_GB2312" w:eastAsia="仿宋_GB2312" w:hAnsiTheme="majorEastAsia"/>
          <w:color w:val="000000"/>
          <w:kern w:val="0"/>
          <w:sz w:val="32"/>
          <w:szCs w:val="32"/>
        </w:rPr>
        <w:t>按照经费来源，</w:t>
      </w:r>
      <w:r>
        <w:rPr>
          <w:rFonts w:hint="eastAsia" w:ascii="仿宋_GB2312" w:eastAsia="仿宋_GB2312" w:cs="ArialUnicodeMS" w:hAnsiTheme="minorHAnsi"/>
          <w:kern w:val="0"/>
          <w:sz w:val="32"/>
          <w:szCs w:val="32"/>
        </w:rPr>
        <w:t>可分为财政拨款、财政性资金基本保证、财政性资金定额或定项补助、财政性资金零补助四类。</w:t>
      </w: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numPr>
          <w:ilvl w:val="0"/>
          <w:numId w:val="0"/>
        </w:numPr>
        <w:spacing w:line="584" w:lineRule="exact"/>
        <w:jc w:val="left"/>
        <w:rPr>
          <w:rFonts w:hint="eastAsia" w:eastAsia="黑体" w:cs="Times New Roman"/>
          <w:sz w:val="32"/>
          <w:szCs w:val="32"/>
          <w:lang w:eastAsia="zh-CN"/>
        </w:rPr>
      </w:pPr>
    </w:p>
    <w:p>
      <w:pPr>
        <w:widowControl/>
        <w:numPr>
          <w:ilvl w:val="0"/>
          <w:numId w:val="0"/>
        </w:numPr>
        <w:spacing w:line="584" w:lineRule="exact"/>
        <w:jc w:val="left"/>
        <w:rPr>
          <w:rFonts w:hint="eastAsia" w:eastAsia="黑体" w:cs="Times New Roman"/>
          <w:sz w:val="32"/>
          <w:szCs w:val="32"/>
          <w:lang w:eastAsia="zh-CN"/>
        </w:rPr>
      </w:pPr>
    </w:p>
    <w:p>
      <w:pPr>
        <w:widowControl/>
        <w:numPr>
          <w:ilvl w:val="0"/>
          <w:numId w:val="0"/>
        </w:numPr>
        <w:spacing w:line="584" w:lineRule="exact"/>
        <w:jc w:val="left"/>
        <w:rPr>
          <w:rFonts w:hint="eastAsia" w:eastAsia="黑体" w:cs="Times New Roman"/>
          <w:sz w:val="32"/>
          <w:szCs w:val="32"/>
          <w:lang w:eastAsia="zh-CN"/>
        </w:rPr>
        <w:sectPr>
          <w:pgSz w:w="11906" w:h="16838"/>
          <w:pgMar w:top="2098" w:right="1474" w:bottom="1984" w:left="1588" w:header="851" w:footer="992" w:gutter="0"/>
          <w:cols w:space="0" w:num="1"/>
          <w:docGrid w:type="lines" w:linePitch="312" w:charSpace="0"/>
        </w:sect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pPr>
        <w:widowControl/>
        <w:spacing w:after="0" w:line="560" w:lineRule="exact"/>
        <w:ind w:firstLine="640" w:firstLineChars="200"/>
        <w:rPr>
          <w:rFonts w:ascii="仿宋_GB2312" w:eastAsia="仿宋_GB2312" w:cs="ArialUnicodeMS" w:hAnsiTheme="minorHAnsi"/>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0000000000000000000"/>
    <w:charset w:val="86"/>
    <w:family w:val="auto"/>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1" w:csb1="00000000"/>
  </w:font>
  <w:font w:name="Malgun Gothic">
    <w:panose1 w:val="020B0503020000020004"/>
    <w:charset w:val="81"/>
    <w:family w:val="auto"/>
    <w:pitch w:val="default"/>
    <w:sig w:usb0="9000002F" w:usb1="29D77CFB" w:usb2="00000012" w:usb3="00000000" w:csb0="00080001" w:csb1="00000000"/>
  </w:font>
  <w:font w:name="Verdana">
    <w:panose1 w:val="020B0604030504040204"/>
    <w:charset w:val="00"/>
    <w:family w:val="swiss"/>
    <w:pitch w:val="default"/>
    <w:sig w:usb0="A00006FF" w:usb1="4000205B" w:usb2="00000010" w:usb3="00000000" w:csb0="2000019F" w:csb1="00000000"/>
  </w:font>
  <w:font w:name="DengXian-Regular">
    <w:altName w:val="宋体"/>
    <w:panose1 w:val="00000000000000000000"/>
    <w:charset w:val="86"/>
    <w:family w:val="auto"/>
    <w:pitch w:val="default"/>
    <w:sig w:usb0="00000000" w:usb1="00000000" w:usb2="00000010" w:usb3="00000000" w:csb0="00040001" w:csb1="00000000"/>
  </w:font>
  <w:font w:name="DengXian-Bold">
    <w:altName w:val="宋体"/>
    <w:panose1 w:val="00000000000000000000"/>
    <w:charset w:val="86"/>
    <w:family w:val="auto"/>
    <w:pitch w:val="default"/>
    <w:sig w:usb0="00000000" w:usb1="00000000" w:usb2="00000010" w:usb3="00000000" w:csb0="00040001" w:csb1="00000000"/>
  </w:font>
  <w:font w:name="方正仿宋简体">
    <w:altName w:val="宋体"/>
    <w:panose1 w:val="00000000000000000000"/>
    <w:charset w:val="86"/>
    <w:family w:val="auto"/>
    <w:pitch w:val="default"/>
    <w:sig w:usb0="00000000" w:usb1="00000000" w:usb2="00000010" w:usb3="00000000" w:csb0="00040000" w:csb1="00000000"/>
  </w:font>
  <w:font w:name="方正书宋_GBK">
    <w:altName w:val="宋体"/>
    <w:panose1 w:val="00000000000000000000"/>
    <w:charset w:val="86"/>
    <w:family w:val="auto"/>
    <w:pitch w:val="default"/>
    <w:sig w:usb0="00000000" w:usb1="00000000" w:usb2="00000000"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7BC4FC8"/>
    <w:multiLevelType w:val="singleLevel"/>
    <w:tmpl w:val="A7BC4FC8"/>
    <w:lvl w:ilvl="0" w:tentative="0">
      <w:start w:val="4"/>
      <w:numFmt w:val="chineseCounting"/>
      <w:suff w:val="space"/>
      <w:lvlText w:val="第%1部分"/>
      <w:lvlJc w:val="left"/>
      <w:rPr>
        <w:rFonts w:hint="eastAsia"/>
      </w:rPr>
    </w:lvl>
  </w:abstractNum>
  <w:abstractNum w:abstractNumId="1">
    <w:nsid w:val="1800E1AE"/>
    <w:multiLevelType w:val="singleLevel"/>
    <w:tmpl w:val="1800E1AE"/>
    <w:lvl w:ilvl="0" w:tentative="0">
      <w:start w:val="1"/>
      <w:numFmt w:val="chineseCounting"/>
      <w:suff w:val="nothing"/>
      <w:lvlText w:val="（%1）"/>
      <w:lvlJc w:val="left"/>
      <w:pPr>
        <w:ind w:left="630" w:leftChars="0" w:firstLine="0" w:firstLineChars="0"/>
      </w:pPr>
      <w:rPr>
        <w:rFonts w:hint="eastAsia"/>
      </w:rPr>
    </w:lvl>
  </w:abstractNum>
  <w:abstractNum w:abstractNumId="2">
    <w:nsid w:val="45DB9A87"/>
    <w:multiLevelType w:val="singleLevel"/>
    <w:tmpl w:val="45DB9A87"/>
    <w:lvl w:ilvl="0" w:tentative="0">
      <w:start w:val="3"/>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1E4"/>
    <w:rsid w:val="002074BF"/>
    <w:rsid w:val="002B4F16"/>
    <w:rsid w:val="00440BCC"/>
    <w:rsid w:val="0062256B"/>
    <w:rsid w:val="0062271D"/>
    <w:rsid w:val="00651D15"/>
    <w:rsid w:val="00765A07"/>
    <w:rsid w:val="008B66CA"/>
    <w:rsid w:val="00981A70"/>
    <w:rsid w:val="00B05F37"/>
    <w:rsid w:val="00C61DF0"/>
    <w:rsid w:val="00C76D09"/>
    <w:rsid w:val="00CA03F2"/>
    <w:rsid w:val="00CC72D2"/>
    <w:rsid w:val="00D11161"/>
    <w:rsid w:val="00D121E4"/>
    <w:rsid w:val="00DE4E53"/>
    <w:rsid w:val="00E41D6B"/>
    <w:rsid w:val="00E72080"/>
    <w:rsid w:val="00F94BB7"/>
    <w:rsid w:val="04146A00"/>
    <w:rsid w:val="09BF68C9"/>
    <w:rsid w:val="0A764B29"/>
    <w:rsid w:val="0C304469"/>
    <w:rsid w:val="0D932B9E"/>
    <w:rsid w:val="0EA74951"/>
    <w:rsid w:val="0F3305A5"/>
    <w:rsid w:val="100B3BFF"/>
    <w:rsid w:val="104F530E"/>
    <w:rsid w:val="13513584"/>
    <w:rsid w:val="149A3E0E"/>
    <w:rsid w:val="16F836B7"/>
    <w:rsid w:val="1B0C57B7"/>
    <w:rsid w:val="1CC10272"/>
    <w:rsid w:val="1EC958DA"/>
    <w:rsid w:val="250229FD"/>
    <w:rsid w:val="28FA5FE3"/>
    <w:rsid w:val="29712C05"/>
    <w:rsid w:val="29B636F6"/>
    <w:rsid w:val="2B114E71"/>
    <w:rsid w:val="2CD62069"/>
    <w:rsid w:val="2DEE2DDA"/>
    <w:rsid w:val="2E7865FE"/>
    <w:rsid w:val="300E5F95"/>
    <w:rsid w:val="305D1CEC"/>
    <w:rsid w:val="30FB16EA"/>
    <w:rsid w:val="31DC0824"/>
    <w:rsid w:val="328D48B5"/>
    <w:rsid w:val="33596C89"/>
    <w:rsid w:val="359F78DB"/>
    <w:rsid w:val="390B68FA"/>
    <w:rsid w:val="3A313DF8"/>
    <w:rsid w:val="3A636417"/>
    <w:rsid w:val="3BB12066"/>
    <w:rsid w:val="3C843BF8"/>
    <w:rsid w:val="4145390F"/>
    <w:rsid w:val="445A579E"/>
    <w:rsid w:val="462B6603"/>
    <w:rsid w:val="46BE44AE"/>
    <w:rsid w:val="47460B8B"/>
    <w:rsid w:val="489310E0"/>
    <w:rsid w:val="48DE5A3F"/>
    <w:rsid w:val="4D7339AC"/>
    <w:rsid w:val="4DCF11FC"/>
    <w:rsid w:val="4E1F3D27"/>
    <w:rsid w:val="50A57AC6"/>
    <w:rsid w:val="53021494"/>
    <w:rsid w:val="552C18D0"/>
    <w:rsid w:val="5E7F4F9E"/>
    <w:rsid w:val="5F3A584D"/>
    <w:rsid w:val="618367A8"/>
    <w:rsid w:val="620C4560"/>
    <w:rsid w:val="64E65355"/>
    <w:rsid w:val="65102282"/>
    <w:rsid w:val="6519770B"/>
    <w:rsid w:val="659241C4"/>
    <w:rsid w:val="660A2D7A"/>
    <w:rsid w:val="663B6ABC"/>
    <w:rsid w:val="66D346B9"/>
    <w:rsid w:val="6B175CBE"/>
    <w:rsid w:val="6CA3749D"/>
    <w:rsid w:val="6DDF5181"/>
    <w:rsid w:val="702F15B1"/>
    <w:rsid w:val="728035D8"/>
    <w:rsid w:val="77BE2D81"/>
    <w:rsid w:val="78B21529"/>
    <w:rsid w:val="79702DE8"/>
    <w:rsid w:val="7BAC7B38"/>
    <w:rsid w:val="7D8F0F15"/>
    <w:rsid w:val="7E182067"/>
    <w:rsid w:val="7F236262"/>
    <w:rsid w:val="7FAF70D2"/>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9">
    <w:name w:val="Default Paragraph Font"/>
    <w:unhideWhenUsed/>
    <w:qFormat/>
    <w:uiPriority w:val="1"/>
  </w:style>
  <w:style w:type="table" w:default="1" w:styleId="8">
    <w:name w:val="Normal Table"/>
    <w:unhideWhenUsed/>
    <w:qFormat/>
    <w:uiPriority w:val="99"/>
    <w:tblPr>
      <w:tblCellMar>
        <w:top w:w="0" w:type="dxa"/>
        <w:left w:w="108" w:type="dxa"/>
        <w:bottom w:w="0" w:type="dxa"/>
        <w:right w:w="108" w:type="dxa"/>
      </w:tblCellMar>
    </w:tbl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rFonts w:ascii="Times New Roman" w:hAnsi="Times New Roman" w:eastAsia="仿宋_GB2312" w:cs="Times New Roman"/>
      <w:kern w:val="0"/>
      <w:sz w:val="24"/>
      <w:szCs w:val="20"/>
    </w:rPr>
  </w:style>
  <w:style w:type="character" w:customStyle="1" w:styleId="10">
    <w:name w:val="页眉 Char"/>
    <w:basedOn w:val="9"/>
    <w:link w:val="6"/>
    <w:semiHidden/>
    <w:qFormat/>
    <w:uiPriority w:val="99"/>
    <w:rPr>
      <w:sz w:val="18"/>
      <w:szCs w:val="18"/>
    </w:rPr>
  </w:style>
  <w:style w:type="character" w:customStyle="1" w:styleId="11">
    <w:name w:val="页脚 Char"/>
    <w:basedOn w:val="9"/>
    <w:link w:val="5"/>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20C09D1-AD2D-46E5-BB53-25A4656EEEDD}">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24</Pages>
  <Words>1952</Words>
  <Characters>11131</Characters>
  <Lines>92</Lines>
  <Paragraphs>26</Paragraphs>
  <TotalTime>10</TotalTime>
  <ScaleCrop>false</ScaleCrop>
  <LinksUpToDate>false</LinksUpToDate>
  <CharactersWithSpaces>13057</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2017-10-27T06:23:00Z</dcterms:created>
  <dc:creator>User</dc:creator>
  <cp:lastModifiedBy>小苏</cp:lastModifiedBy>
  <cp:lastPrinted>2019-10-14T02:18:00Z</cp:lastPrinted>
  <dcterms:modified xsi:type="dcterms:W3CDTF">2021-06-01T02:19:37Z</dcterms:modified>
  <dc:title>河北省文安县孙氏镇人民政府</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90516F06E92A4729848FD52C3D3CEA06</vt:lpwstr>
  </property>
</Properties>
</file>